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FED0" w14:textId="7644DBAF" w:rsidR="00EA0E3F" w:rsidRPr="009C3487" w:rsidRDefault="00504ED3" w:rsidP="005A1053">
      <w:pPr>
        <w:spacing w:line="360" w:lineRule="auto"/>
        <w:ind w:left="426" w:hanging="426"/>
        <w:jc w:val="both"/>
        <w:rPr>
          <w:rFonts w:eastAsiaTheme="minorHAnsi" w:cs="Arial"/>
          <w:b/>
          <w:lang w:eastAsia="en-US"/>
        </w:rPr>
      </w:pPr>
      <w:r w:rsidRPr="009C3487">
        <w:rPr>
          <w:rFonts w:eastAsiaTheme="minorHAnsi" w:cs="Arial"/>
          <w:b/>
          <w:lang w:eastAsia="en-US"/>
        </w:rPr>
        <w:t xml:space="preserve">BEFORE THE </w:t>
      </w:r>
      <w:r w:rsidR="00AA051F">
        <w:rPr>
          <w:rFonts w:eastAsiaTheme="minorHAnsi" w:cs="Arial"/>
          <w:b/>
          <w:lang w:eastAsia="en-US"/>
        </w:rPr>
        <w:t xml:space="preserve">HEARINGS </w:t>
      </w:r>
      <w:r w:rsidR="002E1540">
        <w:rPr>
          <w:rFonts w:eastAsiaTheme="minorHAnsi" w:cs="Arial"/>
          <w:b/>
          <w:lang w:eastAsia="en-US"/>
        </w:rPr>
        <w:t>PANEL</w:t>
      </w:r>
    </w:p>
    <w:p w14:paraId="325F7523" w14:textId="77777777" w:rsidR="00504ED3" w:rsidRPr="009C3487" w:rsidRDefault="00504ED3" w:rsidP="005A1053">
      <w:pPr>
        <w:spacing w:line="360" w:lineRule="auto"/>
        <w:ind w:left="426" w:hanging="426"/>
        <w:jc w:val="both"/>
        <w:rPr>
          <w:rFonts w:eastAsiaTheme="minorHAnsi" w:cs="Arial"/>
          <w:lang w:eastAsia="en-US"/>
        </w:rPr>
      </w:pP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4228"/>
      </w:tblGrid>
      <w:tr w:rsidR="00656077" w:rsidRPr="009C3487" w14:paraId="341C2386" w14:textId="77777777" w:rsidTr="0084171E">
        <w:tc>
          <w:tcPr>
            <w:tcW w:w="2103" w:type="dxa"/>
          </w:tcPr>
          <w:p w14:paraId="131D980F" w14:textId="77777777" w:rsidR="00656077" w:rsidRPr="009C3487" w:rsidRDefault="00656077" w:rsidP="005A1053">
            <w:pPr>
              <w:spacing w:line="360" w:lineRule="auto"/>
              <w:ind w:left="426" w:hanging="426"/>
              <w:jc w:val="both"/>
              <w:rPr>
                <w:rFonts w:cs="Arial"/>
                <w:b/>
              </w:rPr>
            </w:pPr>
            <w:r w:rsidRPr="009C3487">
              <w:rPr>
                <w:rFonts w:cs="Arial"/>
                <w:b/>
              </w:rPr>
              <w:t>IN THE MATTER</w:t>
            </w:r>
          </w:p>
          <w:p w14:paraId="715F30D7" w14:textId="77777777" w:rsidR="00656077" w:rsidRPr="009C3487" w:rsidRDefault="00656077" w:rsidP="005A1053">
            <w:pPr>
              <w:spacing w:line="360" w:lineRule="auto"/>
              <w:ind w:left="426" w:hanging="426"/>
              <w:jc w:val="both"/>
              <w:rPr>
                <w:rFonts w:cs="Arial"/>
                <w:b/>
              </w:rPr>
            </w:pPr>
          </w:p>
          <w:p w14:paraId="7224E62B" w14:textId="77777777" w:rsidR="002E1540" w:rsidRDefault="002E1540" w:rsidP="002E1540">
            <w:pPr>
              <w:spacing w:line="360" w:lineRule="auto"/>
              <w:jc w:val="both"/>
              <w:rPr>
                <w:rFonts w:cs="Arial"/>
                <w:b/>
              </w:rPr>
            </w:pPr>
          </w:p>
          <w:p w14:paraId="6878DA31" w14:textId="77777777" w:rsidR="00656077" w:rsidRPr="009C3487" w:rsidRDefault="00656077" w:rsidP="002E1540">
            <w:pPr>
              <w:spacing w:line="360" w:lineRule="auto"/>
              <w:jc w:val="both"/>
              <w:rPr>
                <w:rFonts w:cs="Arial"/>
                <w:b/>
              </w:rPr>
            </w:pPr>
            <w:r w:rsidRPr="009C3487">
              <w:rPr>
                <w:rFonts w:cs="Arial"/>
                <w:b/>
              </w:rPr>
              <w:t>AND</w:t>
            </w:r>
          </w:p>
          <w:p w14:paraId="7F577518" w14:textId="77777777" w:rsidR="007B3B2A" w:rsidRPr="009C3487" w:rsidRDefault="007B3B2A" w:rsidP="005A1053">
            <w:pPr>
              <w:spacing w:line="360" w:lineRule="auto"/>
              <w:ind w:left="426" w:hanging="426"/>
              <w:jc w:val="both"/>
              <w:rPr>
                <w:rFonts w:cs="Arial"/>
                <w:b/>
              </w:rPr>
            </w:pPr>
          </w:p>
          <w:p w14:paraId="59341E1E" w14:textId="77777777" w:rsidR="00656077" w:rsidRPr="009C3487" w:rsidRDefault="00656077" w:rsidP="005A1053">
            <w:pPr>
              <w:spacing w:line="360" w:lineRule="auto"/>
              <w:ind w:left="426" w:hanging="426"/>
              <w:jc w:val="both"/>
              <w:rPr>
                <w:rFonts w:cs="Arial"/>
                <w:b/>
              </w:rPr>
            </w:pPr>
            <w:r w:rsidRPr="009C3487">
              <w:rPr>
                <w:rFonts w:cs="Arial"/>
                <w:b/>
              </w:rPr>
              <w:t>IN THE MATTER</w:t>
            </w:r>
          </w:p>
        </w:tc>
        <w:tc>
          <w:tcPr>
            <w:tcW w:w="4621" w:type="dxa"/>
          </w:tcPr>
          <w:p w14:paraId="3F743D3D" w14:textId="4A0D0FD3" w:rsidR="00656077" w:rsidRPr="00B119AB" w:rsidRDefault="002E1540" w:rsidP="005A1053">
            <w:pPr>
              <w:spacing w:line="360" w:lineRule="auto"/>
              <w:ind w:hanging="23"/>
              <w:jc w:val="both"/>
              <w:rPr>
                <w:rFonts w:cs="Arial"/>
                <w:b/>
              </w:rPr>
            </w:pPr>
            <w:r>
              <w:rPr>
                <w:rFonts w:cs="Arial"/>
              </w:rPr>
              <w:t>of Schedule 1 of</w:t>
            </w:r>
            <w:r w:rsidR="007B778C" w:rsidRPr="009C3487">
              <w:rPr>
                <w:rFonts w:cs="Arial"/>
              </w:rPr>
              <w:t xml:space="preserve"> th</w:t>
            </w:r>
            <w:r w:rsidR="00B119AB">
              <w:rPr>
                <w:rFonts w:cs="Arial"/>
              </w:rPr>
              <w:t>e Resource Management Act 1991</w:t>
            </w:r>
          </w:p>
          <w:p w14:paraId="695E2CEB" w14:textId="77777777" w:rsidR="00656077" w:rsidRPr="009C3487" w:rsidRDefault="00656077" w:rsidP="005A1053">
            <w:pPr>
              <w:spacing w:line="360" w:lineRule="auto"/>
              <w:ind w:left="426" w:hanging="426"/>
              <w:jc w:val="both"/>
              <w:rPr>
                <w:rFonts w:cs="Arial"/>
              </w:rPr>
            </w:pPr>
          </w:p>
          <w:p w14:paraId="5CEE1274" w14:textId="77777777" w:rsidR="00656077" w:rsidRPr="009C3487" w:rsidRDefault="00656077" w:rsidP="005A1053">
            <w:pPr>
              <w:spacing w:line="360" w:lineRule="auto"/>
              <w:ind w:left="426" w:hanging="426"/>
              <w:jc w:val="both"/>
              <w:rPr>
                <w:rFonts w:cs="Arial"/>
              </w:rPr>
            </w:pPr>
          </w:p>
          <w:p w14:paraId="3446D93D" w14:textId="77777777" w:rsidR="00656077" w:rsidRPr="009C3487" w:rsidRDefault="00656077" w:rsidP="005A1053">
            <w:pPr>
              <w:spacing w:line="360" w:lineRule="auto"/>
              <w:ind w:left="426" w:hanging="426"/>
              <w:jc w:val="both"/>
              <w:rPr>
                <w:rFonts w:cs="Arial"/>
              </w:rPr>
            </w:pPr>
          </w:p>
          <w:p w14:paraId="67B8B59D" w14:textId="2C7C7AF9" w:rsidR="00656077" w:rsidRPr="009C3487" w:rsidRDefault="00B119AB" w:rsidP="002E1540">
            <w:pPr>
              <w:spacing w:line="360" w:lineRule="auto"/>
              <w:jc w:val="both"/>
              <w:rPr>
                <w:rFonts w:cs="Arial"/>
              </w:rPr>
            </w:pPr>
            <w:r>
              <w:rPr>
                <w:rFonts w:cs="Arial"/>
              </w:rPr>
              <w:t>of the P</w:t>
            </w:r>
            <w:r w:rsidR="00283547">
              <w:rPr>
                <w:rFonts w:cs="Arial"/>
              </w:rPr>
              <w:t>roposed Plan Change 18 to the Mackenzie District Plan</w:t>
            </w:r>
          </w:p>
        </w:tc>
      </w:tr>
    </w:tbl>
    <w:p w14:paraId="095FC971" w14:textId="77777777" w:rsidR="00656077" w:rsidRDefault="00656077" w:rsidP="002E1540">
      <w:pPr>
        <w:spacing w:line="360" w:lineRule="auto"/>
        <w:jc w:val="both"/>
        <w:rPr>
          <w:rFonts w:eastAsiaTheme="minorHAnsi" w:cs="Arial"/>
          <w:lang w:eastAsia="en-US"/>
        </w:rPr>
      </w:pPr>
    </w:p>
    <w:p w14:paraId="7F92E688" w14:textId="77777777" w:rsidR="002E1540" w:rsidRPr="009C3487" w:rsidRDefault="002E1540" w:rsidP="002E1540">
      <w:pPr>
        <w:spacing w:line="360" w:lineRule="auto"/>
        <w:jc w:val="both"/>
        <w:rPr>
          <w:rFonts w:eastAsiaTheme="minorHAnsi" w:cs="Arial"/>
          <w:lang w:eastAsia="en-US"/>
        </w:rPr>
      </w:pPr>
    </w:p>
    <w:p w14:paraId="3ABF98B1" w14:textId="77777777" w:rsidR="00656077" w:rsidRPr="009C3487" w:rsidRDefault="00E01E95" w:rsidP="005A1053">
      <w:pPr>
        <w:spacing w:line="360" w:lineRule="auto"/>
        <w:ind w:left="426" w:hanging="426"/>
        <w:jc w:val="both"/>
        <w:rPr>
          <w:rFonts w:eastAsiaTheme="minorHAnsi" w:cs="Arial"/>
          <w:lang w:eastAsia="en-US"/>
        </w:rPr>
      </w:pPr>
      <w:r>
        <w:rPr>
          <w:rFonts w:eastAsiaTheme="minorHAnsi" w:cs="Arial"/>
          <w:lang w:eastAsia="en-US"/>
        </w:rPr>
        <w:pict w14:anchorId="186A95A8">
          <v:rect id="_x0000_i1025" style="width:0;height:1.5pt" o:hralign="center" o:hrstd="t" o:hr="t" fillcolor="#a0a0a0" stroked="f"/>
        </w:pict>
      </w:r>
    </w:p>
    <w:p w14:paraId="63519152" w14:textId="41A2F142" w:rsidR="00656077" w:rsidRPr="0009682F" w:rsidRDefault="009C3487" w:rsidP="005A1053">
      <w:pPr>
        <w:spacing w:line="360" w:lineRule="auto"/>
        <w:ind w:left="426" w:hanging="426"/>
        <w:jc w:val="center"/>
        <w:rPr>
          <w:rFonts w:eastAsiaTheme="minorHAnsi" w:cs="Arial"/>
          <w:lang w:eastAsia="en-US"/>
        </w:rPr>
      </w:pPr>
      <w:r w:rsidRPr="009C3487">
        <w:rPr>
          <w:rFonts w:eastAsiaTheme="minorHAnsi" w:cs="Arial"/>
          <w:b/>
          <w:lang w:eastAsia="en-US"/>
        </w:rPr>
        <w:t>SUBMISSIONS OF COUNSEL</w:t>
      </w:r>
      <w:r w:rsidR="00F664F0" w:rsidRPr="009C3487">
        <w:rPr>
          <w:rFonts w:eastAsiaTheme="minorHAnsi" w:cs="Arial"/>
          <w:b/>
          <w:lang w:eastAsia="en-US"/>
        </w:rPr>
        <w:t xml:space="preserve"> ON BEHALF OF </w:t>
      </w:r>
      <w:r w:rsidR="002E1540">
        <w:rPr>
          <w:rFonts w:eastAsiaTheme="minorHAnsi" w:cs="Arial"/>
          <w:b/>
          <w:lang w:eastAsia="en-US"/>
        </w:rPr>
        <w:t xml:space="preserve">THE </w:t>
      </w:r>
      <w:r w:rsidR="00F664F0" w:rsidRPr="009C3487">
        <w:rPr>
          <w:rFonts w:eastAsiaTheme="minorHAnsi" w:cs="Arial"/>
          <w:b/>
          <w:lang w:eastAsia="en-US"/>
        </w:rPr>
        <w:t>ENVIRONMENTAL DEFENCE SOCIETY INCORPORATED</w:t>
      </w:r>
    </w:p>
    <w:p w14:paraId="120BF118" w14:textId="3482DF62" w:rsidR="00656077" w:rsidRPr="009C3487" w:rsidRDefault="00283547" w:rsidP="005A1053">
      <w:pPr>
        <w:spacing w:line="360" w:lineRule="auto"/>
        <w:ind w:left="426" w:hanging="426"/>
        <w:jc w:val="center"/>
        <w:rPr>
          <w:rFonts w:eastAsiaTheme="minorHAnsi" w:cs="Arial"/>
          <w:b/>
          <w:lang w:eastAsia="en-US"/>
        </w:rPr>
      </w:pPr>
      <w:r>
        <w:rPr>
          <w:rFonts w:eastAsiaTheme="minorHAnsi" w:cs="Arial"/>
          <w:b/>
          <w:lang w:eastAsia="en-US"/>
        </w:rPr>
        <w:t>3 MARCH 2021</w:t>
      </w:r>
    </w:p>
    <w:p w14:paraId="6F2CD1D9" w14:textId="77777777" w:rsidR="00656077" w:rsidRPr="009C3487" w:rsidRDefault="00E01E95" w:rsidP="005A1053">
      <w:pPr>
        <w:spacing w:line="360" w:lineRule="auto"/>
        <w:ind w:left="426" w:hanging="426"/>
        <w:jc w:val="both"/>
        <w:rPr>
          <w:rFonts w:eastAsiaTheme="minorHAnsi" w:cs="Arial"/>
          <w:lang w:eastAsia="en-US"/>
        </w:rPr>
      </w:pPr>
      <w:r>
        <w:rPr>
          <w:rFonts w:eastAsiaTheme="minorHAnsi" w:cs="Arial"/>
          <w:lang w:eastAsia="en-US"/>
        </w:rPr>
        <w:pict w14:anchorId="4BFC0601">
          <v:rect id="_x0000_i1026" style="width:0;height:1.5pt" o:hralign="center" o:hrstd="t" o:hr="t" fillcolor="#a0a0a0" stroked="f"/>
        </w:pict>
      </w:r>
    </w:p>
    <w:p w14:paraId="257B7183" w14:textId="77777777" w:rsidR="007C2C31" w:rsidRPr="009C3487" w:rsidRDefault="007C2C31" w:rsidP="005A1053">
      <w:pPr>
        <w:spacing w:line="360" w:lineRule="auto"/>
        <w:ind w:left="426" w:hanging="426"/>
        <w:jc w:val="both"/>
        <w:rPr>
          <w:rFonts w:eastAsiaTheme="minorHAnsi" w:cs="Arial"/>
          <w:lang w:eastAsia="en-US"/>
        </w:rPr>
        <w:sectPr w:rsidR="007C2C31" w:rsidRPr="009C3487" w:rsidSect="00655EA1">
          <w:footerReference w:type="default" r:id="rId8"/>
          <w:footerReference w:type="first" r:id="rId9"/>
          <w:pgSz w:w="11906" w:h="16838"/>
          <w:pgMar w:top="1440" w:right="1701" w:bottom="1440" w:left="1440" w:header="709" w:footer="709" w:gutter="0"/>
          <w:pgNumType w:fmt="lowerRoman" w:start="1"/>
          <w:cols w:space="708"/>
          <w:titlePg/>
          <w:docGrid w:linePitch="360"/>
        </w:sectPr>
      </w:pPr>
    </w:p>
    <w:p w14:paraId="5A84A888" w14:textId="29798BDF" w:rsidR="00207C1B" w:rsidRPr="00207C1B" w:rsidRDefault="007B778C" w:rsidP="00207C1B">
      <w:pPr>
        <w:pStyle w:val="Heading1"/>
        <w:spacing w:before="200" w:after="200"/>
        <w:jc w:val="both"/>
        <w:rPr>
          <w:rFonts w:asciiTheme="minorHAnsi" w:hAnsiTheme="minorHAnsi" w:cstheme="minorHAnsi"/>
          <w:color w:val="auto"/>
          <w:sz w:val="22"/>
          <w:szCs w:val="22"/>
        </w:rPr>
      </w:pPr>
      <w:bookmarkStart w:id="0" w:name="_Toc380617420"/>
      <w:bookmarkStart w:id="1" w:name="_Toc367847516"/>
      <w:r w:rsidRPr="00EA0B23">
        <w:rPr>
          <w:rFonts w:asciiTheme="minorHAnsi" w:hAnsiTheme="minorHAnsi" w:cstheme="minorHAnsi"/>
          <w:color w:val="auto"/>
          <w:sz w:val="22"/>
          <w:szCs w:val="22"/>
        </w:rPr>
        <w:lastRenderedPageBreak/>
        <w:t>I</w:t>
      </w:r>
      <w:r w:rsidR="00BA54E3" w:rsidRPr="00EA0B23">
        <w:rPr>
          <w:rFonts w:asciiTheme="minorHAnsi" w:hAnsiTheme="minorHAnsi" w:cstheme="minorHAnsi"/>
          <w:color w:val="auto"/>
          <w:sz w:val="22"/>
          <w:szCs w:val="22"/>
        </w:rPr>
        <w:t>NTRODUCTION</w:t>
      </w:r>
      <w:bookmarkEnd w:id="0"/>
      <w:bookmarkEnd w:id="1"/>
    </w:p>
    <w:p w14:paraId="69B0F95B" w14:textId="469B21C3" w:rsidR="00207C1B" w:rsidRPr="0041260D" w:rsidRDefault="00207C1B" w:rsidP="007313BC">
      <w:pPr>
        <w:pStyle w:val="ListParagraph"/>
        <w:numPr>
          <w:ilvl w:val="0"/>
          <w:numId w:val="1"/>
        </w:numPr>
        <w:spacing w:before="200"/>
        <w:contextualSpacing w:val="0"/>
        <w:jc w:val="both"/>
        <w:rPr>
          <w:rFonts w:cs="Arial"/>
          <w:b/>
        </w:rPr>
      </w:pPr>
      <w:r>
        <w:t>These submissions are presented on behalf of the Environmental Defence Society Incorporated (</w:t>
      </w:r>
      <w:r>
        <w:rPr>
          <w:b/>
          <w:bCs/>
        </w:rPr>
        <w:t>EDS</w:t>
      </w:r>
      <w:r>
        <w:t>) in support of its submission and further submission on Plan Change 18 to the Mackenzie District Plan (</w:t>
      </w:r>
      <w:r w:rsidRPr="00207C1B">
        <w:rPr>
          <w:b/>
          <w:bCs/>
        </w:rPr>
        <w:t>PC18</w:t>
      </w:r>
      <w:r>
        <w:t xml:space="preserve">). </w:t>
      </w:r>
    </w:p>
    <w:p w14:paraId="039CC6FB" w14:textId="507E82FB" w:rsidR="00933A85" w:rsidRPr="00207C1B" w:rsidRDefault="00207C1B" w:rsidP="007313BC">
      <w:pPr>
        <w:pStyle w:val="ListParagraph"/>
        <w:numPr>
          <w:ilvl w:val="0"/>
          <w:numId w:val="1"/>
        </w:numPr>
        <w:spacing w:before="200"/>
        <w:contextualSpacing w:val="0"/>
        <w:jc w:val="both"/>
        <w:rPr>
          <w:rFonts w:cs="Arial"/>
          <w:b/>
        </w:rPr>
      </w:pPr>
      <w:r>
        <w:t>EDS is a national public interest environmental organisation established in 1971. Its membership is largely comprised of resource management professionals. EDS seeks to achieve good environmental outcomes through improving the quality of New Zealand’s legal and policy frameworks and participating in statutory decision-making processes. EDS has been active in assessing the effectiveness of the Resource Management Act 1991 (</w:t>
      </w:r>
      <w:r>
        <w:rPr>
          <w:b/>
          <w:bCs/>
        </w:rPr>
        <w:t>RMA</w:t>
      </w:r>
      <w:r>
        <w:t xml:space="preserve">) and statutory planning documents in addressing key environmental issues. </w:t>
      </w:r>
      <w:r w:rsidR="00FC4D8F" w:rsidRPr="00EA0B23">
        <w:rPr>
          <w:rFonts w:cstheme="minorHAnsi"/>
          <w:bCs/>
        </w:rPr>
        <w:t>New Zealand’s biodiversity is in a state of crisis and continuing to decline.</w:t>
      </w:r>
      <w:r w:rsidR="00FC4D8F" w:rsidRPr="00EA0B23">
        <w:rPr>
          <w:rStyle w:val="FootnoteReference"/>
          <w:rFonts w:cstheme="minorHAnsi"/>
          <w:bCs/>
        </w:rPr>
        <w:footnoteReference w:id="1"/>
      </w:r>
      <w:r w:rsidR="00FC4D8F" w:rsidRPr="00EA0B23">
        <w:rPr>
          <w:rFonts w:cstheme="minorHAnsi"/>
          <w:bCs/>
        </w:rPr>
        <w:t xml:space="preserve">  </w:t>
      </w:r>
    </w:p>
    <w:p w14:paraId="2EF2DA2B" w14:textId="1C2CE4DD" w:rsidR="00F26493" w:rsidRPr="00877838" w:rsidRDefault="00F26493" w:rsidP="00877838">
      <w:pPr>
        <w:pStyle w:val="ListParagraph"/>
        <w:numPr>
          <w:ilvl w:val="0"/>
          <w:numId w:val="1"/>
        </w:numPr>
      </w:pPr>
      <w:r w:rsidRPr="00F26493">
        <w:t>The Mackenzie District is home to important indigenous biodiversity values which are nationally and internationally unique. Those values are fragile and currently under immense pressure from land use intensification</w:t>
      </w:r>
      <w:r>
        <w:t>, with substantial ecosystem loss occurring in the Mackenzie Basin, primarily as a result of intensive agricultural development.</w:t>
      </w:r>
      <w:r>
        <w:rPr>
          <w:rStyle w:val="FootnoteReference"/>
        </w:rPr>
        <w:footnoteReference w:id="2"/>
      </w:r>
      <w:r w:rsidR="00877838">
        <w:t xml:space="preserve"> </w:t>
      </w:r>
      <w:r w:rsidR="00927D17">
        <w:rPr>
          <w:rFonts w:cstheme="minorHAnsi"/>
        </w:rPr>
        <w:t>These ecosystems have</w:t>
      </w:r>
      <w:r w:rsidR="00877838" w:rsidRPr="005953DB">
        <w:rPr>
          <w:rFonts w:cstheme="minorHAnsi"/>
        </w:rPr>
        <w:t xml:space="preserve"> changed from a unique, complex matrix of indigenous cushion and mat vegetation, shrub, and grasslands to an artificial, exotic, and alien monoculture. Once the Basin’s ecosystems, flora, and fauna are lost they are lost globally, forever.</w:t>
      </w:r>
    </w:p>
    <w:p w14:paraId="2F2EDB4E" w14:textId="77777777" w:rsidR="00877838" w:rsidRPr="00F26493" w:rsidRDefault="00877838" w:rsidP="00877838">
      <w:pPr>
        <w:pStyle w:val="ListParagraph"/>
      </w:pPr>
    </w:p>
    <w:p w14:paraId="443D9371" w14:textId="168E3482" w:rsidR="00BD01A5" w:rsidRPr="00BD01A5" w:rsidRDefault="00207C1B" w:rsidP="007313BC">
      <w:pPr>
        <w:pStyle w:val="ListParagraph"/>
        <w:numPr>
          <w:ilvl w:val="0"/>
          <w:numId w:val="1"/>
        </w:numPr>
        <w:spacing w:before="200"/>
        <w:contextualSpacing w:val="0"/>
        <w:jc w:val="both"/>
        <w:rPr>
          <w:rFonts w:cs="Arial"/>
          <w:b/>
        </w:rPr>
      </w:pPr>
      <w:r>
        <w:t>PC18 is cognisant of these issues</w:t>
      </w:r>
      <w:r w:rsidR="00AC5CC9">
        <w:t xml:space="preserve"> and acknowledges the need to address matters relating to the ongoing loss or potential loss within the District. </w:t>
      </w:r>
      <w:r w:rsidR="00877838">
        <w:t xml:space="preserve">The impacts of </w:t>
      </w:r>
      <w:r w:rsidR="00927D17">
        <w:t>farm intensification on indigenous vegetation are</w:t>
      </w:r>
      <w:r w:rsidR="00877838">
        <w:t xml:space="preserve"> noted</w:t>
      </w:r>
      <w:r w:rsidR="00BD01A5">
        <w:t xml:space="preserve">. PC18 </w:t>
      </w:r>
      <w:r w:rsidR="00877838">
        <w:t>seeks to avoid</w:t>
      </w:r>
      <w:r w:rsidR="00BD01A5">
        <w:t xml:space="preserve"> additional loss of valued indigenous vegetation through clearance within the District, an</w:t>
      </w:r>
      <w:r w:rsidR="00FF5700">
        <w:t>d</w:t>
      </w:r>
      <w:r w:rsidR="00BD01A5">
        <w:t xml:space="preserve"> in particular, in the Mackenzie Basin.</w:t>
      </w:r>
      <w:r w:rsidR="00BD01A5" w:rsidRPr="00BD01A5">
        <w:rPr>
          <w:rStyle w:val="FootnoteReference"/>
        </w:rPr>
        <w:t xml:space="preserve"> </w:t>
      </w:r>
      <w:r w:rsidR="00BD01A5">
        <w:rPr>
          <w:rStyle w:val="FootnoteReference"/>
        </w:rPr>
        <w:footnoteReference w:id="3"/>
      </w:r>
    </w:p>
    <w:p w14:paraId="5210D958" w14:textId="0D83E11E" w:rsidR="00C51E46" w:rsidRPr="00927D17" w:rsidRDefault="00F26493" w:rsidP="00927D17">
      <w:pPr>
        <w:pStyle w:val="ListParagraph"/>
        <w:numPr>
          <w:ilvl w:val="0"/>
          <w:numId w:val="1"/>
        </w:numPr>
        <w:spacing w:before="200"/>
        <w:contextualSpacing w:val="0"/>
        <w:jc w:val="both"/>
        <w:rPr>
          <w:rFonts w:cs="Arial"/>
          <w:b/>
        </w:rPr>
      </w:pPr>
      <w:r>
        <w:t>EDS sought a suite of changes to the PC18 to ensure that the Mackenzie District’s biodiversity will be adequately protected. The s 42A report recommendations</w:t>
      </w:r>
      <w:r w:rsidR="00927D17">
        <w:t xml:space="preserve"> have</w:t>
      </w:r>
      <w:r>
        <w:t xml:space="preserve"> incorporated some of EDS’s suggested amendments and</w:t>
      </w:r>
      <w:r w:rsidR="0041260D">
        <w:t xml:space="preserve"> EDS is generally supportive of those recommendations. However, </w:t>
      </w:r>
      <w:r>
        <w:t xml:space="preserve">EDS remains of the view that the PC18 provision are still inadequate to safeguard the District’s indigenous biodiversity. </w:t>
      </w:r>
      <w:r w:rsidR="00FA2226">
        <w:t xml:space="preserve">Where no comment is made, EDS supports the recommendation </w:t>
      </w:r>
      <w:r w:rsidR="00927D17">
        <w:t xml:space="preserve">made </w:t>
      </w:r>
      <w:r w:rsidR="00FA2226">
        <w:t xml:space="preserve">in the s42A report. </w:t>
      </w:r>
      <w:r w:rsidR="00C51E46">
        <w:t xml:space="preserve">EDS’s submission focuses largely on the Mackenzie Basin portion of the District, except where </w:t>
      </w:r>
      <w:r w:rsidR="00927D17">
        <w:t>otherwise indicated.</w:t>
      </w:r>
      <w:r w:rsidR="00C51E46">
        <w:t xml:space="preserve"> </w:t>
      </w:r>
    </w:p>
    <w:p w14:paraId="1FE01A46" w14:textId="1169D4D9" w:rsidR="00283547" w:rsidRPr="00283547" w:rsidRDefault="00283547" w:rsidP="00283547">
      <w:pPr>
        <w:pStyle w:val="ListParagraph"/>
        <w:numPr>
          <w:ilvl w:val="0"/>
          <w:numId w:val="1"/>
        </w:numPr>
        <w:spacing w:before="200"/>
        <w:contextualSpacing w:val="0"/>
        <w:jc w:val="both"/>
        <w:rPr>
          <w:rFonts w:cs="Arial"/>
          <w:b/>
        </w:rPr>
      </w:pPr>
      <w:r>
        <w:rPr>
          <w:rFonts w:cstheme="minorHAnsi"/>
          <w:bCs/>
        </w:rPr>
        <w:t xml:space="preserve">These submissions focus on </w:t>
      </w:r>
      <w:r w:rsidR="00DF5282">
        <w:rPr>
          <w:rFonts w:cstheme="minorHAnsi"/>
          <w:bCs/>
        </w:rPr>
        <w:t>seven</w:t>
      </w:r>
      <w:r>
        <w:rPr>
          <w:rFonts w:cstheme="minorHAnsi"/>
          <w:bCs/>
        </w:rPr>
        <w:t xml:space="preserve"> key issues:</w:t>
      </w:r>
    </w:p>
    <w:p w14:paraId="299ED615" w14:textId="165D8623" w:rsidR="00565230" w:rsidRPr="00BD01A5" w:rsidRDefault="00DF5282" w:rsidP="00283547">
      <w:pPr>
        <w:pStyle w:val="ListParagraph"/>
        <w:numPr>
          <w:ilvl w:val="1"/>
          <w:numId w:val="1"/>
        </w:numPr>
        <w:spacing w:before="200"/>
        <w:contextualSpacing w:val="0"/>
        <w:jc w:val="both"/>
        <w:rPr>
          <w:rFonts w:cs="Arial"/>
          <w:b/>
        </w:rPr>
      </w:pPr>
      <w:r>
        <w:rPr>
          <w:rFonts w:cstheme="minorHAnsi"/>
          <w:bCs/>
        </w:rPr>
        <w:t>Indigenous biodiversity in the Mackenzie District</w:t>
      </w:r>
    </w:p>
    <w:p w14:paraId="0E5BEAD3" w14:textId="396E0D3F" w:rsidR="00DF5282" w:rsidRPr="00DF5282" w:rsidRDefault="00DF5282" w:rsidP="00DF5282">
      <w:pPr>
        <w:pStyle w:val="ListParagraph"/>
        <w:numPr>
          <w:ilvl w:val="1"/>
          <w:numId w:val="1"/>
        </w:numPr>
        <w:spacing w:before="200"/>
        <w:contextualSpacing w:val="0"/>
        <w:jc w:val="both"/>
        <w:rPr>
          <w:rFonts w:cs="Arial"/>
          <w:b/>
        </w:rPr>
      </w:pPr>
      <w:r>
        <w:rPr>
          <w:rFonts w:cstheme="minorHAnsi"/>
          <w:bCs/>
        </w:rPr>
        <w:t xml:space="preserve">Definitions for Vegetation Clearance and Indigenous Biodiversity </w:t>
      </w:r>
    </w:p>
    <w:p w14:paraId="64DBECEA" w14:textId="74E781EA" w:rsidR="00DF5282" w:rsidRPr="00DF5282" w:rsidRDefault="00DF5282" w:rsidP="00DF5282">
      <w:pPr>
        <w:pStyle w:val="ListParagraph"/>
        <w:numPr>
          <w:ilvl w:val="1"/>
          <w:numId w:val="1"/>
        </w:numPr>
        <w:spacing w:before="200"/>
        <w:contextualSpacing w:val="0"/>
        <w:jc w:val="both"/>
        <w:rPr>
          <w:rFonts w:cs="Arial"/>
          <w:b/>
        </w:rPr>
      </w:pPr>
      <w:r>
        <w:t xml:space="preserve">Improved Pasture </w:t>
      </w:r>
    </w:p>
    <w:p w14:paraId="590E9B6D" w14:textId="4C80B9C2" w:rsidR="00565230" w:rsidRPr="00DF5282" w:rsidRDefault="00DF5282" w:rsidP="00283547">
      <w:pPr>
        <w:pStyle w:val="ListParagraph"/>
        <w:numPr>
          <w:ilvl w:val="1"/>
          <w:numId w:val="1"/>
        </w:numPr>
        <w:spacing w:before="200"/>
        <w:contextualSpacing w:val="0"/>
        <w:jc w:val="both"/>
        <w:rPr>
          <w:rFonts w:cs="Arial"/>
          <w:b/>
        </w:rPr>
      </w:pPr>
      <w:r>
        <w:rPr>
          <w:rFonts w:cstheme="minorHAnsi"/>
          <w:bCs/>
        </w:rPr>
        <w:t>No net loss and the u</w:t>
      </w:r>
      <w:r w:rsidR="00565230">
        <w:rPr>
          <w:rFonts w:cstheme="minorHAnsi"/>
          <w:bCs/>
        </w:rPr>
        <w:t xml:space="preserve">se of offsetting </w:t>
      </w:r>
    </w:p>
    <w:p w14:paraId="01631FAC" w14:textId="0E4F0DC8" w:rsidR="00DF5282" w:rsidRPr="00565230" w:rsidRDefault="00DF5282" w:rsidP="00283547">
      <w:pPr>
        <w:pStyle w:val="ListParagraph"/>
        <w:numPr>
          <w:ilvl w:val="1"/>
          <w:numId w:val="1"/>
        </w:numPr>
        <w:spacing w:before="200"/>
        <w:contextualSpacing w:val="0"/>
        <w:jc w:val="both"/>
        <w:rPr>
          <w:rFonts w:cs="Arial"/>
          <w:b/>
        </w:rPr>
      </w:pPr>
      <w:r>
        <w:rPr>
          <w:rFonts w:cstheme="minorHAnsi"/>
          <w:bCs/>
        </w:rPr>
        <w:lastRenderedPageBreak/>
        <w:t>Vegetation clearance rules</w:t>
      </w:r>
    </w:p>
    <w:p w14:paraId="5233F49E" w14:textId="2FDD3A4D" w:rsidR="00565230" w:rsidRPr="00565230" w:rsidRDefault="00565230" w:rsidP="00283547">
      <w:pPr>
        <w:pStyle w:val="ListParagraph"/>
        <w:numPr>
          <w:ilvl w:val="1"/>
          <w:numId w:val="1"/>
        </w:numPr>
        <w:spacing w:before="200"/>
        <w:contextualSpacing w:val="0"/>
        <w:jc w:val="both"/>
        <w:rPr>
          <w:rFonts w:cs="Arial"/>
          <w:b/>
        </w:rPr>
      </w:pPr>
      <w:r>
        <w:rPr>
          <w:rFonts w:cstheme="minorHAnsi"/>
          <w:bCs/>
        </w:rPr>
        <w:t xml:space="preserve">Farm Biodiversity Plans </w:t>
      </w:r>
    </w:p>
    <w:p w14:paraId="4BABAF5D" w14:textId="0215F85E" w:rsidR="009A7936" w:rsidRPr="00812768" w:rsidRDefault="00565230" w:rsidP="00812768">
      <w:pPr>
        <w:pStyle w:val="ListParagraph"/>
        <w:numPr>
          <w:ilvl w:val="1"/>
          <w:numId w:val="1"/>
        </w:numPr>
        <w:spacing w:before="200"/>
        <w:contextualSpacing w:val="0"/>
        <w:jc w:val="both"/>
        <w:rPr>
          <w:rFonts w:cs="Arial"/>
          <w:b/>
        </w:rPr>
      </w:pPr>
      <w:r>
        <w:rPr>
          <w:rFonts w:cstheme="minorHAnsi"/>
          <w:bCs/>
        </w:rPr>
        <w:t xml:space="preserve">Waitaki Power Scheme </w:t>
      </w:r>
    </w:p>
    <w:p w14:paraId="3C533EFF" w14:textId="79D2BFC2" w:rsidR="00283547" w:rsidRPr="00283547" w:rsidRDefault="00283547" w:rsidP="00283547">
      <w:pPr>
        <w:spacing w:before="200"/>
        <w:jc w:val="both"/>
        <w:rPr>
          <w:rFonts w:cs="Arial"/>
          <w:b/>
        </w:rPr>
      </w:pPr>
      <w:r w:rsidRPr="00283547">
        <w:rPr>
          <w:rFonts w:cstheme="minorHAnsi"/>
          <w:b/>
        </w:rPr>
        <w:t xml:space="preserve">SUMMARY OF LEGAL FRAMEWORK </w:t>
      </w:r>
    </w:p>
    <w:p w14:paraId="1AD41058" w14:textId="2EF409DE" w:rsidR="005B11FE" w:rsidRDefault="00283547" w:rsidP="005B11FE">
      <w:pPr>
        <w:pStyle w:val="ListParagraph"/>
        <w:numPr>
          <w:ilvl w:val="0"/>
          <w:numId w:val="1"/>
        </w:numPr>
      </w:pPr>
      <w:r w:rsidRPr="000C68BF">
        <w:t xml:space="preserve">The RMA requirements of Council in respect of </w:t>
      </w:r>
      <w:r w:rsidR="00812768" w:rsidRPr="000C68BF">
        <w:t>the Mackenzie District</w:t>
      </w:r>
      <w:r w:rsidRPr="000C68BF">
        <w:t>’s biodiversity are clear and directive. Council must (</w:t>
      </w:r>
      <w:r w:rsidRPr="005B11FE">
        <w:rPr>
          <w:i/>
          <w:iCs/>
        </w:rPr>
        <w:t>inter alia</w:t>
      </w:r>
      <w:r w:rsidRPr="000C68BF">
        <w:t>):</w:t>
      </w:r>
    </w:p>
    <w:p w14:paraId="632B5879" w14:textId="77777777" w:rsidR="005B11FE" w:rsidRPr="000C68BF" w:rsidRDefault="005B11FE" w:rsidP="005B11FE">
      <w:pPr>
        <w:pStyle w:val="ListParagraph"/>
      </w:pPr>
    </w:p>
    <w:p w14:paraId="3E1AEB39" w14:textId="3FAF0AB2" w:rsidR="009A7936" w:rsidRPr="000C68BF" w:rsidRDefault="00283547" w:rsidP="000C68BF">
      <w:pPr>
        <w:pStyle w:val="ListParagraph"/>
        <w:numPr>
          <w:ilvl w:val="1"/>
          <w:numId w:val="1"/>
        </w:numPr>
        <w:spacing w:before="200"/>
        <w:contextualSpacing w:val="0"/>
        <w:jc w:val="both"/>
        <w:rPr>
          <w:rFonts w:cstheme="minorHAnsi"/>
          <w:bCs/>
        </w:rPr>
      </w:pPr>
      <w:r w:rsidRPr="000C68BF">
        <w:t>Sa</w:t>
      </w:r>
      <w:r w:rsidRPr="000C68BF">
        <w:rPr>
          <w:rFonts w:cstheme="minorHAnsi"/>
          <w:bCs/>
        </w:rPr>
        <w:t>feguard the life-supporting capacity of air, water, soil, and ecosystems (s5(2)(b)).</w:t>
      </w:r>
    </w:p>
    <w:p w14:paraId="0F542F28" w14:textId="50C3983B" w:rsidR="00812768" w:rsidRPr="000C68BF" w:rsidRDefault="00283547" w:rsidP="000C68BF">
      <w:pPr>
        <w:pStyle w:val="ListParagraph"/>
        <w:numPr>
          <w:ilvl w:val="1"/>
          <w:numId w:val="1"/>
        </w:numPr>
        <w:spacing w:before="200"/>
        <w:contextualSpacing w:val="0"/>
        <w:jc w:val="both"/>
        <w:rPr>
          <w:rFonts w:cstheme="minorHAnsi"/>
          <w:bCs/>
        </w:rPr>
      </w:pPr>
      <w:r w:rsidRPr="000C68BF">
        <w:rPr>
          <w:rFonts w:cstheme="minorHAnsi"/>
          <w:bCs/>
        </w:rPr>
        <w:t xml:space="preserve">Recognise and provide for the protection </w:t>
      </w:r>
      <w:r w:rsidR="00812768" w:rsidRPr="000C68BF">
        <w:rPr>
          <w:rFonts w:cstheme="minorHAnsi"/>
          <w:bCs/>
        </w:rPr>
        <w:t>of significant indigenous vegetation and significant habitats of indigenous fauna (s6(c))</w:t>
      </w:r>
      <w:r w:rsidR="005B11FE">
        <w:rPr>
          <w:rFonts w:cstheme="minorHAnsi"/>
          <w:bCs/>
        </w:rPr>
        <w:t>.</w:t>
      </w:r>
    </w:p>
    <w:p w14:paraId="010D3123" w14:textId="5156266F" w:rsidR="009A7936" w:rsidRPr="000C68BF" w:rsidRDefault="00283547" w:rsidP="000C68BF">
      <w:pPr>
        <w:pStyle w:val="ListParagraph"/>
        <w:numPr>
          <w:ilvl w:val="1"/>
          <w:numId w:val="1"/>
        </w:numPr>
        <w:spacing w:before="200"/>
        <w:contextualSpacing w:val="0"/>
        <w:jc w:val="both"/>
        <w:rPr>
          <w:rFonts w:cstheme="minorHAnsi"/>
          <w:bCs/>
        </w:rPr>
      </w:pPr>
      <w:r w:rsidRPr="000C68BF">
        <w:rPr>
          <w:rFonts w:cstheme="minorHAnsi"/>
          <w:bCs/>
        </w:rPr>
        <w:t>Have particular regard to the intrinsic values of ecosystems, maintenance and enhancement of the quality of the environment, and any finite characteristics of natural and physical resources (ss7(d), (f), (g).</w:t>
      </w:r>
    </w:p>
    <w:p w14:paraId="02E90C7A" w14:textId="028FE692" w:rsidR="009A7936" w:rsidRPr="000C68BF" w:rsidRDefault="00283547" w:rsidP="000C68BF">
      <w:pPr>
        <w:pStyle w:val="ListParagraph"/>
        <w:numPr>
          <w:ilvl w:val="1"/>
          <w:numId w:val="1"/>
        </w:numPr>
        <w:spacing w:before="200"/>
        <w:contextualSpacing w:val="0"/>
        <w:jc w:val="both"/>
        <w:rPr>
          <w:rFonts w:cstheme="minorHAnsi"/>
          <w:bCs/>
        </w:rPr>
      </w:pPr>
      <w:r w:rsidRPr="000C68BF">
        <w:rPr>
          <w:rFonts w:cstheme="minorHAnsi"/>
          <w:bCs/>
        </w:rPr>
        <w:t>Control the use of land for the purpose of maintaining and enhancing ecosystems in water bodies (s30(1)(c)(</w:t>
      </w:r>
      <w:proofErr w:type="spellStart"/>
      <w:r w:rsidRPr="000C68BF">
        <w:rPr>
          <w:rFonts w:cstheme="minorHAnsi"/>
          <w:bCs/>
        </w:rPr>
        <w:t>iiia</w:t>
      </w:r>
      <w:proofErr w:type="spellEnd"/>
      <w:r w:rsidRPr="000C68BF">
        <w:rPr>
          <w:rFonts w:cstheme="minorHAnsi"/>
          <w:bCs/>
        </w:rPr>
        <w:t>))</w:t>
      </w:r>
      <w:r w:rsidR="000C68BF">
        <w:rPr>
          <w:rFonts w:cstheme="minorHAnsi"/>
          <w:bCs/>
        </w:rPr>
        <w:t>.</w:t>
      </w:r>
    </w:p>
    <w:p w14:paraId="31841186" w14:textId="00CD297B" w:rsidR="00283547" w:rsidRPr="000C68BF" w:rsidRDefault="00283547" w:rsidP="000C68BF">
      <w:pPr>
        <w:pStyle w:val="ListParagraph"/>
        <w:numPr>
          <w:ilvl w:val="1"/>
          <w:numId w:val="1"/>
        </w:numPr>
        <w:spacing w:before="200"/>
        <w:contextualSpacing w:val="0"/>
        <w:jc w:val="both"/>
        <w:rPr>
          <w:rFonts w:cstheme="minorHAnsi"/>
          <w:bCs/>
        </w:rPr>
      </w:pPr>
      <w:r w:rsidRPr="000C68BF">
        <w:rPr>
          <w:rFonts w:cstheme="minorHAnsi"/>
          <w:bCs/>
        </w:rPr>
        <w:t xml:space="preserve">Maintain </w:t>
      </w:r>
      <w:r w:rsidR="009A214B" w:rsidRPr="000C68BF">
        <w:rPr>
          <w:rFonts w:cstheme="minorHAnsi"/>
          <w:bCs/>
        </w:rPr>
        <w:t>indigenous biodiversity (s31(1)(b)(</w:t>
      </w:r>
      <w:proofErr w:type="spellStart"/>
      <w:r w:rsidR="009A214B" w:rsidRPr="000C68BF">
        <w:rPr>
          <w:rFonts w:cstheme="minorHAnsi"/>
          <w:bCs/>
        </w:rPr>
        <w:t>iiia</w:t>
      </w:r>
      <w:proofErr w:type="spellEnd"/>
      <w:r w:rsidR="009A214B" w:rsidRPr="000C68BF">
        <w:rPr>
          <w:rFonts w:cstheme="minorHAnsi"/>
          <w:bCs/>
        </w:rPr>
        <w:t>)</w:t>
      </w:r>
      <w:r w:rsidR="009A7936" w:rsidRPr="000C68BF">
        <w:rPr>
          <w:rFonts w:cstheme="minorHAnsi"/>
          <w:bCs/>
        </w:rPr>
        <w:t>.</w:t>
      </w:r>
    </w:p>
    <w:p w14:paraId="75DCED6B" w14:textId="17F15DC5" w:rsidR="00877838" w:rsidRDefault="009A7936" w:rsidP="000C68BF">
      <w:pPr>
        <w:pStyle w:val="ListParagraph"/>
        <w:numPr>
          <w:ilvl w:val="0"/>
          <w:numId w:val="1"/>
        </w:numPr>
      </w:pPr>
      <w:r w:rsidRPr="00812768">
        <w:t xml:space="preserve">PC18 must also “give effect” to the </w:t>
      </w:r>
      <w:r w:rsidR="00ED2B0F" w:rsidRPr="00812768">
        <w:t>objectives and policies in the Canterbury Regional Policy Statement (RPS).</w:t>
      </w:r>
      <w:r w:rsidR="00FA2226">
        <w:rPr>
          <w:rStyle w:val="FootnoteReference"/>
        </w:rPr>
        <w:footnoteReference w:id="4"/>
      </w:r>
      <w:r w:rsidR="00FA2226">
        <w:t xml:space="preserve"> </w:t>
      </w:r>
      <w:r w:rsidR="00877838">
        <w:t xml:space="preserve">Indigenous biodiversity is addressed in section 9 of the Canterbury RPS and </w:t>
      </w:r>
      <w:r w:rsidR="005B11FE">
        <w:t xml:space="preserve">the </w:t>
      </w:r>
      <w:r w:rsidR="00877838">
        <w:t>key elements of that section are:</w:t>
      </w:r>
    </w:p>
    <w:p w14:paraId="64CF1FAB" w14:textId="77777777" w:rsidR="005B11FE" w:rsidRPr="000C68BF" w:rsidRDefault="005B11FE" w:rsidP="005B11FE">
      <w:pPr>
        <w:pStyle w:val="ListParagraph"/>
      </w:pPr>
    </w:p>
    <w:p w14:paraId="36D90F48" w14:textId="31FEC101" w:rsidR="00877838" w:rsidRPr="000C68BF" w:rsidRDefault="00877838" w:rsidP="000C68BF">
      <w:pPr>
        <w:pStyle w:val="ListParagraph"/>
        <w:numPr>
          <w:ilvl w:val="1"/>
          <w:numId w:val="1"/>
        </w:numPr>
        <w:spacing w:before="200"/>
        <w:contextualSpacing w:val="0"/>
        <w:jc w:val="both"/>
      </w:pPr>
      <w:r w:rsidRPr="000C68BF">
        <w:t xml:space="preserve">Ongoing loss and degradation of ecosystems and indigenous biodiversity and difficulties with identification of significant areas are identified as significant regional resource management issues (Issues 9.1.1 and 9.1.2). </w:t>
      </w:r>
    </w:p>
    <w:p w14:paraId="7DA2D468" w14:textId="40A9CBC1" w:rsidR="00877838" w:rsidRPr="000C68BF" w:rsidRDefault="00877838" w:rsidP="000C68BF">
      <w:pPr>
        <w:pStyle w:val="ListParagraph"/>
        <w:numPr>
          <w:ilvl w:val="1"/>
          <w:numId w:val="1"/>
        </w:numPr>
        <w:spacing w:before="200"/>
        <w:contextualSpacing w:val="0"/>
        <w:jc w:val="both"/>
      </w:pPr>
      <w:r w:rsidRPr="000C68BF">
        <w:t>Dual objectives of halting biodiversity decline and restoring and enhancing ecosystems and biodiversity (Objectives 9.2.1 and 9.2.1).</w:t>
      </w:r>
    </w:p>
    <w:p w14:paraId="426AB840" w14:textId="5400E04D" w:rsidR="00877838" w:rsidRPr="000C68BF" w:rsidRDefault="005B11FE" w:rsidP="000C68BF">
      <w:pPr>
        <w:pStyle w:val="ListParagraph"/>
        <w:numPr>
          <w:ilvl w:val="1"/>
          <w:numId w:val="1"/>
        </w:numPr>
        <w:spacing w:before="200"/>
        <w:contextualSpacing w:val="0"/>
        <w:jc w:val="both"/>
      </w:pPr>
      <w:r>
        <w:t xml:space="preserve">The </w:t>
      </w:r>
      <w:r w:rsidR="00877838" w:rsidRPr="000C68BF">
        <w:t>protection of significant indigenous vegetation and habitats</w:t>
      </w:r>
      <w:r>
        <w:t xml:space="preserve"> (</w:t>
      </w:r>
      <w:r w:rsidRPr="000C68BF">
        <w:t>Objective 9.2.3</w:t>
      </w:r>
      <w:r>
        <w:t>)</w:t>
      </w:r>
      <w:r w:rsidR="00877838" w:rsidRPr="000C68BF">
        <w:t xml:space="preserve">. This is achieved through identifying significant areas and then ensuring their protection to ensure no net loss of indigenous biodiversity values from land use (Policy 9.3.1). District plans must include provisions to provide for identification and protection of significant areas (method 3, Policy 9.3.1). This must include rules which trigger case-by-case assessment of indigenous vegetation clearance to allow for identification of significance areas (method 4, Policy 9.3.1). </w:t>
      </w:r>
    </w:p>
    <w:p w14:paraId="146178DC" w14:textId="6ABB6051" w:rsidR="00877838" w:rsidRPr="000C68BF" w:rsidRDefault="005B11FE" w:rsidP="000C68BF">
      <w:pPr>
        <w:pStyle w:val="ListParagraph"/>
        <w:numPr>
          <w:ilvl w:val="1"/>
          <w:numId w:val="1"/>
        </w:numPr>
        <w:spacing w:before="200"/>
        <w:contextualSpacing w:val="0"/>
        <w:jc w:val="both"/>
      </w:pPr>
      <w:r>
        <w:t xml:space="preserve">Priorities </w:t>
      </w:r>
      <w:r w:rsidR="00877838" w:rsidRPr="000C68BF">
        <w:t xml:space="preserve">for protection </w:t>
      </w:r>
      <w:r>
        <w:t xml:space="preserve">are set out, </w:t>
      </w:r>
      <w:r w:rsidR="00877838" w:rsidRPr="000C68BF">
        <w:t>to which district plans must give effect</w:t>
      </w:r>
      <w:r>
        <w:t xml:space="preserve"> (</w:t>
      </w:r>
      <w:r w:rsidRPr="000C68BF">
        <w:t>Policy 9.3.2</w:t>
      </w:r>
      <w:r>
        <w:t>)</w:t>
      </w:r>
      <w:r w:rsidR="00877838" w:rsidRPr="000C68BF">
        <w:t xml:space="preserve">. These include land environments where less than 20% of original indigenous vegetation cover remains, wetlands, originally rare ecosystem types, and habitats of </w:t>
      </w:r>
      <w:r w:rsidR="00877838" w:rsidRPr="000C68BF">
        <w:lastRenderedPageBreak/>
        <w:t xml:space="preserve">threatened or at risk species. All of these priority areas are found across large tracts of the Mackenzie Basin, in particular in the remaining area of ecological and landscape connectivity. </w:t>
      </w:r>
    </w:p>
    <w:p w14:paraId="17877037" w14:textId="63612D3A" w:rsidR="00877838" w:rsidRPr="000C68BF" w:rsidRDefault="00F10225" w:rsidP="000C68BF">
      <w:pPr>
        <w:pStyle w:val="ListParagraph"/>
        <w:numPr>
          <w:ilvl w:val="1"/>
          <w:numId w:val="1"/>
        </w:numPr>
        <w:spacing w:before="200"/>
        <w:contextualSpacing w:val="0"/>
        <w:jc w:val="both"/>
      </w:pPr>
      <w:r>
        <w:t xml:space="preserve">An </w:t>
      </w:r>
      <w:r w:rsidR="00877838" w:rsidRPr="000C68BF">
        <w:t xml:space="preserve">integrated approach </w:t>
      </w:r>
      <w:r>
        <w:t>is required</w:t>
      </w:r>
      <w:r w:rsidR="00877838" w:rsidRPr="000C68BF">
        <w:t xml:space="preserve"> across catchments where connectivity is an issue for sustaining habitats and ecosystem function</w:t>
      </w:r>
      <w:r>
        <w:t xml:space="preserve"> (</w:t>
      </w:r>
      <w:r w:rsidRPr="000C68BF">
        <w:t>Policy 9.3.3</w:t>
      </w:r>
      <w:r>
        <w:t xml:space="preserve">). </w:t>
      </w:r>
      <w:r w:rsidR="00877838" w:rsidRPr="000C68BF">
        <w:t xml:space="preserve">The Mackenzie Basin is one of those areas. Policy 9.3.4 is complementary, promoting enhancement and restoration to improve functioning and long term sustainability. The need for action to restore fragmented, degraded, or scarce natural habitats to restore ecosystem functioning is a key driver for those policies (explanation, Policy 9.3.4). </w:t>
      </w:r>
    </w:p>
    <w:p w14:paraId="4B5FE4A7" w14:textId="2EB1517F" w:rsidR="00F027C2" w:rsidRPr="000C68BF" w:rsidRDefault="00877838" w:rsidP="000C68BF">
      <w:pPr>
        <w:pStyle w:val="ListParagraph"/>
        <w:numPr>
          <w:ilvl w:val="1"/>
          <w:numId w:val="1"/>
        </w:numPr>
        <w:spacing w:before="200"/>
        <w:contextualSpacing w:val="0"/>
        <w:jc w:val="both"/>
      </w:pPr>
      <w:r w:rsidRPr="000C68BF">
        <w:t xml:space="preserve">A key anticipated environmental result is that the “overall functioning and intrinsic value of Canterbury’s existing ecosystems and indigenous biodiversity are protected from adverse effects of land use and development”. </w:t>
      </w:r>
    </w:p>
    <w:p w14:paraId="19B53014" w14:textId="6A40DD2F" w:rsidR="00FC5F93" w:rsidRPr="000C68BF" w:rsidRDefault="005826CA" w:rsidP="00F10225">
      <w:pPr>
        <w:pStyle w:val="ListParagraph"/>
        <w:spacing w:before="200"/>
        <w:contextualSpacing w:val="0"/>
        <w:jc w:val="both"/>
      </w:pPr>
      <w:r w:rsidRPr="000C68BF">
        <w:t xml:space="preserve">PC18 is </w:t>
      </w:r>
      <w:r w:rsidR="00F10225">
        <w:t xml:space="preserve">identified as </w:t>
      </w:r>
      <w:r w:rsidRPr="000C68BF">
        <w:t>a “significant step towards better giving effect to the CRPS” compared to the status quo.</w:t>
      </w:r>
      <w:r w:rsidR="00FA2226">
        <w:rPr>
          <w:rStyle w:val="FootnoteReference"/>
        </w:rPr>
        <w:footnoteReference w:id="5"/>
      </w:r>
    </w:p>
    <w:p w14:paraId="4FC153B5" w14:textId="17A60C6F" w:rsidR="00C9280C" w:rsidRPr="00133CB8" w:rsidRDefault="005B1CF7" w:rsidP="00133CB8">
      <w:pPr>
        <w:pStyle w:val="ListParagraph"/>
        <w:numPr>
          <w:ilvl w:val="0"/>
          <w:numId w:val="1"/>
        </w:numPr>
        <w:spacing w:before="200"/>
        <w:contextualSpacing w:val="0"/>
        <w:jc w:val="both"/>
      </w:pPr>
      <w:r w:rsidRPr="000C68BF">
        <w:t>The proposed National Policy Statement for Indigenous Biodiversity (</w:t>
      </w:r>
      <w:r w:rsidRPr="00F10225">
        <w:rPr>
          <w:b/>
          <w:bCs/>
        </w:rPr>
        <w:t>proposed NPSIB</w:t>
      </w:r>
      <w:r w:rsidRPr="000C68BF">
        <w:t>) is also relevant (although it is not yet a statutory document and therefore is of limited weight). The proposed NPSIB will set out how to give effect to the s 6(c) obligation to protect indigenous biodiversity. It will also require the mandatory identification and mapping of significant natural areas. This will provide certainty to landowners, resource users, and the wider community.</w:t>
      </w:r>
    </w:p>
    <w:p w14:paraId="5041D276" w14:textId="7E45DF91" w:rsidR="00812768" w:rsidRPr="00812768" w:rsidRDefault="00812768" w:rsidP="00812768">
      <w:pPr>
        <w:autoSpaceDE w:val="0"/>
        <w:autoSpaceDN w:val="0"/>
        <w:adjustRightInd w:val="0"/>
        <w:spacing w:after="0" w:line="240" w:lineRule="auto"/>
        <w:rPr>
          <w:rFonts w:ascii="Calibri" w:hAnsi="Calibri" w:cs="Calibri"/>
          <w:b/>
          <w:bCs/>
        </w:rPr>
      </w:pPr>
      <w:r>
        <w:rPr>
          <w:rFonts w:ascii="Calibri" w:hAnsi="Calibri" w:cs="Calibri"/>
          <w:b/>
          <w:bCs/>
        </w:rPr>
        <w:t>INDIGENOUS BIODIVERSITY IN THE MACKENZIE DISTRICT</w:t>
      </w:r>
    </w:p>
    <w:p w14:paraId="1CC16875" w14:textId="36DB2F4B" w:rsidR="0091738C" w:rsidRPr="0091738C" w:rsidRDefault="00812768" w:rsidP="00812768">
      <w:pPr>
        <w:pStyle w:val="ListParagraph"/>
        <w:numPr>
          <w:ilvl w:val="0"/>
          <w:numId w:val="1"/>
        </w:numPr>
        <w:spacing w:before="200"/>
        <w:contextualSpacing w:val="0"/>
        <w:jc w:val="both"/>
      </w:pPr>
      <w:r>
        <w:t xml:space="preserve">As mentioned above, Council has </w:t>
      </w:r>
      <w:r w:rsidR="0091738C">
        <w:t xml:space="preserve">directive </w:t>
      </w:r>
      <w:r>
        <w:t>functions under s</w:t>
      </w:r>
      <w:r w:rsidR="00F10225">
        <w:t xml:space="preserve">s 5(2)(b), </w:t>
      </w:r>
      <w:r>
        <w:t xml:space="preserve">6(c) and </w:t>
      </w:r>
      <w:r w:rsidRPr="00812768">
        <w:rPr>
          <w:rFonts w:ascii="Calibri" w:hAnsi="Calibri" w:cs="Calibri"/>
        </w:rPr>
        <w:t>31</w:t>
      </w:r>
      <w:r>
        <w:rPr>
          <w:rFonts w:ascii="Calibri" w:hAnsi="Calibri" w:cs="Calibri"/>
        </w:rPr>
        <w:t>(</w:t>
      </w:r>
      <w:r w:rsidRPr="00812768">
        <w:rPr>
          <w:rFonts w:ascii="Calibri" w:hAnsi="Calibri" w:cs="Calibri"/>
        </w:rPr>
        <w:t>b)(iii)</w:t>
      </w:r>
      <w:r>
        <w:rPr>
          <w:rFonts w:ascii="Calibri" w:hAnsi="Calibri" w:cs="Calibri"/>
        </w:rPr>
        <w:t xml:space="preserve"> specifically relating to the management of indigenous biodiversity. </w:t>
      </w:r>
      <w:r w:rsidRPr="00812768">
        <w:rPr>
          <w:rFonts w:ascii="Calibri" w:hAnsi="Calibri" w:cs="Calibri"/>
        </w:rPr>
        <w:t xml:space="preserve"> </w:t>
      </w:r>
    </w:p>
    <w:p w14:paraId="4559A11A" w14:textId="6D30EA3C" w:rsidR="00F10225" w:rsidRPr="00F10225" w:rsidRDefault="00F10225" w:rsidP="00F10225">
      <w:pPr>
        <w:pStyle w:val="ListParagraph"/>
        <w:numPr>
          <w:ilvl w:val="0"/>
          <w:numId w:val="1"/>
        </w:numPr>
        <w:spacing w:before="200"/>
        <w:contextualSpacing w:val="0"/>
        <w:jc w:val="both"/>
      </w:pPr>
      <w:r w:rsidRPr="007B0446">
        <w:rPr>
          <w:rFonts w:ascii="Calibri" w:hAnsi="Calibri" w:cs="Calibri"/>
        </w:rPr>
        <w:t>Protection of indigenous biodiversity is a core part of safeguarding the li</w:t>
      </w:r>
      <w:r w:rsidR="00FF5700">
        <w:rPr>
          <w:rFonts w:ascii="Calibri" w:hAnsi="Calibri" w:cs="Calibri"/>
        </w:rPr>
        <w:t>f</w:t>
      </w:r>
      <w:r w:rsidRPr="007B0446">
        <w:rPr>
          <w:rFonts w:ascii="Calibri" w:hAnsi="Calibri" w:cs="Calibri"/>
        </w:rPr>
        <w:t>e</w:t>
      </w:r>
      <w:r w:rsidR="00FF5700">
        <w:rPr>
          <w:rFonts w:ascii="Calibri" w:hAnsi="Calibri" w:cs="Calibri"/>
        </w:rPr>
        <w:t>-</w:t>
      </w:r>
      <w:r w:rsidRPr="007B0446">
        <w:rPr>
          <w:rFonts w:ascii="Calibri" w:hAnsi="Calibri" w:cs="Calibri"/>
        </w:rPr>
        <w:t>supporting capacity of ecosystems</w:t>
      </w:r>
      <w:r w:rsidRPr="000940FD">
        <w:rPr>
          <w:rStyle w:val="FootnoteReference"/>
          <w:rFonts w:ascii="Calibri" w:hAnsi="Calibri"/>
        </w:rPr>
        <w:footnoteReference w:id="6"/>
      </w:r>
      <w:r w:rsidRPr="007B0446">
        <w:rPr>
          <w:rFonts w:ascii="Calibri" w:hAnsi="Calibri" w:cs="Calibri"/>
        </w:rPr>
        <w:t xml:space="preserve"> </w:t>
      </w:r>
      <w:r>
        <w:rPr>
          <w:rFonts w:ascii="Calibri" w:hAnsi="Calibri" w:cs="Calibri"/>
        </w:rPr>
        <w:t>and is the primary responsibility of local authorities when exercising their functions in relation to indigenous biodiversity.</w:t>
      </w:r>
      <w:r w:rsidRPr="0091738C">
        <w:rPr>
          <w:rStyle w:val="FootnoteReference"/>
          <w:rFonts w:ascii="Calibri" w:hAnsi="Calibri"/>
          <w:iCs/>
        </w:rPr>
        <w:footnoteReference w:id="7"/>
      </w:r>
      <w:r>
        <w:rPr>
          <w:rFonts w:ascii="Calibri" w:hAnsi="Calibri" w:cs="Calibri"/>
        </w:rPr>
        <w:t xml:space="preserve">  </w:t>
      </w:r>
    </w:p>
    <w:p w14:paraId="3122A0EF" w14:textId="25E59BB4" w:rsidR="007B0446" w:rsidRPr="007B0446" w:rsidRDefault="0091738C" w:rsidP="00812768">
      <w:pPr>
        <w:pStyle w:val="ListParagraph"/>
        <w:numPr>
          <w:ilvl w:val="0"/>
          <w:numId w:val="1"/>
        </w:numPr>
        <w:spacing w:before="200"/>
        <w:contextualSpacing w:val="0"/>
        <w:jc w:val="both"/>
      </w:pPr>
      <w:r>
        <w:rPr>
          <w:rFonts w:ascii="Calibri" w:hAnsi="Calibri" w:cs="Calibri"/>
        </w:rPr>
        <w:t>The protection of s</w:t>
      </w:r>
      <w:r w:rsidR="00812768">
        <w:rPr>
          <w:rFonts w:ascii="Calibri" w:hAnsi="Calibri" w:cs="Calibri"/>
        </w:rPr>
        <w:t xml:space="preserve">ignificant </w:t>
      </w:r>
      <w:r w:rsidR="00812768" w:rsidRPr="00812768">
        <w:rPr>
          <w:rFonts w:ascii="Calibri" w:hAnsi="Calibri" w:cs="Calibri"/>
        </w:rPr>
        <w:t>indigenous vegetation and significant habitats of indigenous fauna</w:t>
      </w:r>
      <w:r w:rsidR="00812768">
        <w:rPr>
          <w:rFonts w:ascii="Calibri" w:hAnsi="Calibri" w:cs="Calibri"/>
        </w:rPr>
        <w:t xml:space="preserve"> (herein referred to as significant indigenous vegetation) </w:t>
      </w:r>
      <w:r>
        <w:rPr>
          <w:rFonts w:ascii="Calibri" w:hAnsi="Calibri" w:cs="Calibri"/>
        </w:rPr>
        <w:t xml:space="preserve">is required under s 6(c). </w:t>
      </w:r>
      <w:r w:rsidR="00812768">
        <w:rPr>
          <w:rFonts w:ascii="Calibri" w:hAnsi="Calibri" w:cs="Calibri"/>
        </w:rPr>
        <w:t xml:space="preserve"> </w:t>
      </w:r>
      <w:r>
        <w:rPr>
          <w:rFonts w:ascii="Calibri" w:hAnsi="Calibri" w:cs="Calibri"/>
        </w:rPr>
        <w:t>This is a strong directive, imposing a duty on Council to keep its significant indigenous vegetation</w:t>
      </w:r>
      <w:r w:rsidR="00812768">
        <w:rPr>
          <w:rFonts w:ascii="Calibri" w:hAnsi="Calibri" w:cs="Calibri"/>
        </w:rPr>
        <w:t xml:space="preserve"> “</w:t>
      </w:r>
      <w:r w:rsidR="00812768" w:rsidRPr="00812768">
        <w:rPr>
          <w:rFonts w:ascii="Calibri,Italic" w:hAnsi="Calibri,Italic" w:cs="Calibri,Italic"/>
          <w:i/>
          <w:iCs/>
        </w:rPr>
        <w:t>safe from harm, injury, or damage</w:t>
      </w:r>
      <w:r w:rsidR="00812768" w:rsidRPr="00812768">
        <w:rPr>
          <w:rFonts w:ascii="Calibri" w:hAnsi="Calibri" w:cs="Calibri"/>
        </w:rPr>
        <w:t>”</w:t>
      </w:r>
      <w:r w:rsidR="00812768">
        <w:rPr>
          <w:rFonts w:ascii="Calibri" w:hAnsi="Calibri" w:cs="Calibri"/>
        </w:rPr>
        <w:t>.</w:t>
      </w:r>
      <w:r w:rsidR="00812768">
        <w:rPr>
          <w:rStyle w:val="FootnoteReference"/>
          <w:rFonts w:ascii="Calibri" w:hAnsi="Calibri" w:cs="Calibri"/>
        </w:rPr>
        <w:footnoteReference w:id="8"/>
      </w:r>
      <w:r w:rsidR="00812768">
        <w:rPr>
          <w:rFonts w:ascii="Calibri" w:hAnsi="Calibri" w:cs="Calibri"/>
        </w:rPr>
        <w:t xml:space="preserve"> </w:t>
      </w:r>
      <w:r w:rsidR="00F10225" w:rsidRPr="00F10225">
        <w:rPr>
          <w:rFonts w:ascii="Calibri" w:hAnsi="Calibri" w:cs="Calibri"/>
        </w:rPr>
        <w:t>The protection of significant areas is a core element of sustainable management</w:t>
      </w:r>
      <w:r w:rsidR="00F10225" w:rsidRPr="000940FD">
        <w:rPr>
          <w:rStyle w:val="FootnoteReference"/>
          <w:rFonts w:ascii="Calibri" w:hAnsi="Calibri"/>
        </w:rPr>
        <w:footnoteReference w:id="9"/>
      </w:r>
      <w:r w:rsidR="00F10225" w:rsidRPr="00F10225">
        <w:rPr>
          <w:rFonts w:ascii="Calibri" w:hAnsi="Calibri" w:cs="Calibri"/>
        </w:rPr>
        <w:t xml:space="preserve"> and is integral to maintenance of indigenous biodiversity.  </w:t>
      </w:r>
    </w:p>
    <w:p w14:paraId="46003C74" w14:textId="0896EA6C" w:rsidR="00812768" w:rsidRPr="007B0446" w:rsidRDefault="00F10225" w:rsidP="007B0446">
      <w:pPr>
        <w:pStyle w:val="ListParagraph"/>
        <w:numPr>
          <w:ilvl w:val="0"/>
          <w:numId w:val="1"/>
        </w:numPr>
        <w:spacing w:before="200"/>
        <w:contextualSpacing w:val="0"/>
        <w:jc w:val="both"/>
      </w:pPr>
      <w:r>
        <w:rPr>
          <w:rFonts w:ascii="Calibri" w:hAnsi="Calibri" w:cs="Calibri"/>
        </w:rPr>
        <w:t>Maintenance of other</w:t>
      </w:r>
      <w:r w:rsidR="00812768" w:rsidRPr="00812768">
        <w:rPr>
          <w:rFonts w:ascii="Calibri" w:hAnsi="Calibri" w:cs="Calibri"/>
        </w:rPr>
        <w:t xml:space="preserve"> areas of indigenous </w:t>
      </w:r>
      <w:r w:rsidR="007B0446">
        <w:rPr>
          <w:rFonts w:ascii="Calibri" w:hAnsi="Calibri" w:cs="Calibri"/>
        </w:rPr>
        <w:t>biological diversity</w:t>
      </w:r>
      <w:r w:rsidR="00812768" w:rsidRPr="00812768">
        <w:rPr>
          <w:rFonts w:ascii="Calibri" w:hAnsi="Calibri" w:cs="Calibri"/>
        </w:rPr>
        <w:t xml:space="preserve"> </w:t>
      </w:r>
      <w:r>
        <w:rPr>
          <w:rFonts w:ascii="Calibri" w:hAnsi="Calibri" w:cs="Calibri"/>
        </w:rPr>
        <w:t>is required under</w:t>
      </w:r>
      <w:r w:rsidR="00812768" w:rsidRPr="00812768">
        <w:rPr>
          <w:rFonts w:ascii="Calibri" w:hAnsi="Calibri" w:cs="Calibri"/>
        </w:rPr>
        <w:t xml:space="preserve"> s 31(b)(iii)</w:t>
      </w:r>
      <w:r w:rsidR="00812768">
        <w:rPr>
          <w:rFonts w:ascii="Calibri" w:hAnsi="Calibri" w:cs="Calibri"/>
        </w:rPr>
        <w:t>.</w:t>
      </w:r>
      <w:r w:rsidR="007B0446">
        <w:rPr>
          <w:rFonts w:ascii="Calibri" w:hAnsi="Calibri" w:cs="Calibri"/>
        </w:rPr>
        <w:t xml:space="preserve">  </w:t>
      </w:r>
      <w:r w:rsidR="00E21E0F">
        <w:rPr>
          <w:rFonts w:ascii="Calibri" w:hAnsi="Calibri" w:cs="Calibri"/>
        </w:rPr>
        <w:t>This is a core outcome for local authorities.</w:t>
      </w:r>
      <w:r w:rsidR="00E21E0F">
        <w:rPr>
          <w:rStyle w:val="FootnoteReference"/>
          <w:rFonts w:ascii="Calibri" w:hAnsi="Calibri" w:cs="Calibri"/>
        </w:rPr>
        <w:footnoteReference w:id="10"/>
      </w:r>
      <w:r w:rsidR="00E21E0F">
        <w:rPr>
          <w:rFonts w:ascii="Calibri" w:hAnsi="Calibri" w:cs="Calibri"/>
        </w:rPr>
        <w:t xml:space="preserve"> </w:t>
      </w:r>
      <w:r w:rsidR="00812768" w:rsidRPr="007B0446">
        <w:rPr>
          <w:rFonts w:ascii="Calibri" w:hAnsi="Calibri" w:cs="Calibri"/>
        </w:rPr>
        <w:t xml:space="preserve">“Maintain” has been held to mean both “cause </w:t>
      </w:r>
      <w:r w:rsidR="00812768" w:rsidRPr="007B0446">
        <w:rPr>
          <w:rFonts w:ascii="Calibri" w:hAnsi="Calibri" w:cs="Calibri"/>
        </w:rPr>
        <w:lastRenderedPageBreak/>
        <w:t>or enable (a condition or situation) to continue” and “provide with the necessities for life or existence”</w:t>
      </w:r>
      <w:r>
        <w:rPr>
          <w:rFonts w:ascii="Calibri" w:hAnsi="Calibri" w:cs="Calibri"/>
        </w:rPr>
        <w:t xml:space="preserve">. </w:t>
      </w:r>
    </w:p>
    <w:p w14:paraId="190C091D" w14:textId="45CC5958" w:rsidR="00896FC8" w:rsidRDefault="0091738C" w:rsidP="00C9280C">
      <w:pPr>
        <w:pStyle w:val="ListParagraph"/>
        <w:numPr>
          <w:ilvl w:val="0"/>
          <w:numId w:val="1"/>
        </w:numPr>
        <w:spacing w:before="200"/>
        <w:contextualSpacing w:val="0"/>
        <w:jc w:val="both"/>
      </w:pPr>
      <w:r>
        <w:t xml:space="preserve">This provides </w:t>
      </w:r>
      <w:r w:rsidR="00A615EF">
        <w:t xml:space="preserve">support for the ‘two </w:t>
      </w:r>
      <w:r w:rsidR="00262795">
        <w:t>limbs</w:t>
      </w:r>
      <w:r w:rsidR="00A615EF">
        <w:t xml:space="preserve">’ framework </w:t>
      </w:r>
      <w:r w:rsidR="00262795">
        <w:t xml:space="preserve">sought by EDS and </w:t>
      </w:r>
      <w:r w:rsidR="00A615EF">
        <w:t xml:space="preserve">recommended in the s42A report, whereby significant indigenous vegetation is protected, and adverse effects on its values avoided, and other indigenous vegetation maintained through the application of the effects management hierarchy. </w:t>
      </w:r>
    </w:p>
    <w:p w14:paraId="13627EBE" w14:textId="278977FE" w:rsidR="005D72B4" w:rsidRDefault="00F027C2" w:rsidP="006232EB">
      <w:pPr>
        <w:pStyle w:val="ListParagraph"/>
        <w:numPr>
          <w:ilvl w:val="0"/>
          <w:numId w:val="1"/>
        </w:numPr>
        <w:spacing w:before="200"/>
        <w:contextualSpacing w:val="0"/>
        <w:jc w:val="both"/>
      </w:pPr>
      <w:r>
        <w:t>The categories of land set out in Dr Walker’s evidence</w:t>
      </w:r>
      <w:r>
        <w:rPr>
          <w:rStyle w:val="FootnoteReference"/>
        </w:rPr>
        <w:footnoteReference w:id="11"/>
      </w:r>
      <w:r>
        <w:t xml:space="preserve"> are strongly supported</w:t>
      </w:r>
      <w:r w:rsidR="003134B3">
        <w:t>. This approach clearly delineates between significant areas</w:t>
      </w:r>
      <w:r w:rsidR="00E21E0F">
        <w:t xml:space="preserve"> of indigenous vegetation</w:t>
      </w:r>
      <w:r w:rsidR="003134B3">
        <w:t xml:space="preserve"> (which must be protected), other indigenous vegetation (that must be maintained) and improved pasture</w:t>
      </w:r>
      <w:r>
        <w:t>.</w:t>
      </w:r>
      <w:r w:rsidR="003134B3">
        <w:rPr>
          <w:rFonts w:cstheme="minorHAnsi"/>
        </w:rPr>
        <w:t xml:space="preserve"> Mapping of these land categories</w:t>
      </w:r>
      <w:r w:rsidR="00896FC8">
        <w:rPr>
          <w:rFonts w:cstheme="minorHAnsi"/>
        </w:rPr>
        <w:t xml:space="preserve"> will improve clarity</w:t>
      </w:r>
      <w:r w:rsidR="00896FC8" w:rsidRPr="00896FC8">
        <w:rPr>
          <w:rFonts w:cstheme="minorHAnsi"/>
        </w:rPr>
        <w:t xml:space="preserve"> </w:t>
      </w:r>
      <w:r w:rsidR="00896FC8">
        <w:rPr>
          <w:rFonts w:cstheme="minorHAnsi"/>
        </w:rPr>
        <w:t>for</w:t>
      </w:r>
      <w:r w:rsidR="00896FC8" w:rsidRPr="005953DB">
        <w:rPr>
          <w:rFonts w:cstheme="minorHAnsi"/>
        </w:rPr>
        <w:t xml:space="preserve"> plan users, plan regulators, and the public</w:t>
      </w:r>
      <w:r w:rsidR="00896FC8">
        <w:rPr>
          <w:rFonts w:cstheme="minorHAnsi"/>
        </w:rPr>
        <w:t>; and will</w:t>
      </w:r>
      <w:r w:rsidR="00896FC8" w:rsidRPr="005953DB">
        <w:rPr>
          <w:rFonts w:cstheme="minorHAnsi"/>
        </w:rPr>
        <w:t xml:space="preserve"> reduce complexity of monitoring as outcomes on the ground can be cross-checked against those expected and visually represented under the spatial plan</w:t>
      </w:r>
      <w:r w:rsidR="00896FC8">
        <w:rPr>
          <w:rFonts w:cstheme="minorHAnsi"/>
        </w:rPr>
        <w:t>.</w:t>
      </w:r>
    </w:p>
    <w:p w14:paraId="3EDBEDD4" w14:textId="11BE72AF" w:rsidR="00F26493" w:rsidRPr="00F26493" w:rsidRDefault="00F027C2" w:rsidP="00F26493">
      <w:pPr>
        <w:spacing w:before="200"/>
        <w:ind w:left="360"/>
        <w:jc w:val="both"/>
        <w:rPr>
          <w:i/>
          <w:iCs/>
        </w:rPr>
      </w:pPr>
      <w:r w:rsidRPr="00F027C2">
        <w:rPr>
          <w:i/>
          <w:iCs/>
        </w:rPr>
        <w:t>Mapping of significant indigenous vegetation</w:t>
      </w:r>
    </w:p>
    <w:p w14:paraId="6F5F2EDE" w14:textId="5A7B9F2C" w:rsidR="00CB572D" w:rsidRDefault="00FC5F93" w:rsidP="00CB572D">
      <w:pPr>
        <w:pStyle w:val="ListParagraph"/>
        <w:numPr>
          <w:ilvl w:val="0"/>
          <w:numId w:val="1"/>
        </w:numPr>
        <w:spacing w:before="200"/>
        <w:contextualSpacing w:val="0"/>
        <w:jc w:val="both"/>
      </w:pPr>
      <w:r>
        <w:t>The list of sites of natural significance (</w:t>
      </w:r>
      <w:r w:rsidRPr="00E21E0F">
        <w:rPr>
          <w:b/>
          <w:bCs/>
        </w:rPr>
        <w:t>SO</w:t>
      </w:r>
      <w:r w:rsidRPr="00FF5700">
        <w:rPr>
          <w:b/>
          <w:bCs/>
        </w:rPr>
        <w:t>N</w:t>
      </w:r>
      <w:r w:rsidR="00FF5700" w:rsidRPr="00FF5700">
        <w:rPr>
          <w:b/>
          <w:bCs/>
        </w:rPr>
        <w:t>S</w:t>
      </w:r>
      <w:r>
        <w:t xml:space="preserve">) in Appendix </w:t>
      </w:r>
      <w:r w:rsidR="000C68BF">
        <w:t>1</w:t>
      </w:r>
      <w:r>
        <w:t xml:space="preserve"> is inadequate, out of date and incomplete.</w:t>
      </w:r>
      <w:r>
        <w:rPr>
          <w:rStyle w:val="FootnoteReference"/>
        </w:rPr>
        <w:footnoteReference w:id="12"/>
      </w:r>
      <w:r>
        <w:t xml:space="preserve"> </w:t>
      </w:r>
      <w:r w:rsidR="00CB572D">
        <w:t xml:space="preserve">This was acknowledged by the Environment Court and Council during PC13. In order for Council to fulfil its functions under s 6(c) RMA and Section 9 of the Canterbury RPS </w:t>
      </w:r>
      <w:r w:rsidR="00CB572D">
        <w:rPr>
          <w:rFonts w:cstheme="minorHAnsi"/>
        </w:rPr>
        <w:t xml:space="preserve">amendments </w:t>
      </w:r>
      <w:r>
        <w:t>are required to ensure that</w:t>
      </w:r>
      <w:r w:rsidR="00CB572D">
        <w:t xml:space="preserve"> other</w:t>
      </w:r>
      <w:r>
        <w:t xml:space="preserve"> areas that meet the criteria for significant indigenous biodiversity are identified and protected</w:t>
      </w:r>
      <w:r w:rsidR="00BF2556">
        <w:t>.</w:t>
      </w:r>
    </w:p>
    <w:p w14:paraId="23EA3FE9" w14:textId="38219CBF" w:rsidR="00F26493" w:rsidRDefault="00F26493" w:rsidP="00C9280C">
      <w:pPr>
        <w:pStyle w:val="ListParagraph"/>
        <w:numPr>
          <w:ilvl w:val="0"/>
          <w:numId w:val="1"/>
        </w:numPr>
        <w:spacing w:before="200"/>
        <w:contextualSpacing w:val="0"/>
        <w:jc w:val="both"/>
      </w:pPr>
      <w:r>
        <w:t>“Significant” is not defined in the RMA. The question of whether an area of indigenous vegetation or habitat is significant is an objective one, based on expert ecological opinion</w:t>
      </w:r>
      <w:r>
        <w:rPr>
          <w:rStyle w:val="FootnoteReference"/>
        </w:rPr>
        <w:footnoteReference w:id="13"/>
      </w:r>
      <w:r>
        <w:rPr>
          <w:sz w:val="14"/>
          <w:szCs w:val="14"/>
        </w:rPr>
        <w:t xml:space="preserve"> </w:t>
      </w:r>
      <w:r>
        <w:t>and commonly guided by criteria.</w:t>
      </w:r>
      <w:r w:rsidR="00FC5F93">
        <w:rPr>
          <w:rStyle w:val="FootnoteReference"/>
        </w:rPr>
        <w:footnoteReference w:id="14"/>
      </w:r>
    </w:p>
    <w:p w14:paraId="133D78A3" w14:textId="2B34C219" w:rsidR="00E21E0F" w:rsidRPr="00E21E0F" w:rsidRDefault="00C51E46" w:rsidP="000D1907">
      <w:pPr>
        <w:pStyle w:val="ListParagraph"/>
        <w:numPr>
          <w:ilvl w:val="0"/>
          <w:numId w:val="1"/>
        </w:numPr>
        <w:spacing w:before="200"/>
        <w:contextualSpacing w:val="0"/>
        <w:jc w:val="both"/>
        <w:rPr>
          <w:rFonts w:cstheme="minorHAnsi"/>
        </w:rPr>
      </w:pPr>
      <w:r>
        <w:t>T</w:t>
      </w:r>
      <w:r w:rsidR="00CB572D">
        <w:t>he Environment Court has found that that the Mackenzie Basin ONL is a significant natural area based on Policy 9.3.1 criterion 4 of the Canterbury RPS.</w:t>
      </w:r>
      <w:r w:rsidR="00CB572D">
        <w:rPr>
          <w:rStyle w:val="FootnoteReference"/>
        </w:rPr>
        <w:footnoteReference w:id="15"/>
      </w:r>
      <w:r w:rsidR="00CB572D">
        <w:t xml:space="preserve"> This was not a policy </w:t>
      </w:r>
      <w:r w:rsidR="00CB572D" w:rsidRPr="00E21E0F">
        <w:rPr>
          <w:rFonts w:cstheme="minorHAnsi"/>
        </w:rPr>
        <w:t>determination but was instead a determination of fact based on the evidence before the Court.</w:t>
      </w:r>
      <w:r w:rsidR="00CB572D" w:rsidRPr="00E21E0F">
        <w:rPr>
          <w:rFonts w:cstheme="minorHAnsi"/>
          <w:vertAlign w:val="superscript"/>
        </w:rPr>
        <w:footnoteReference w:id="16"/>
      </w:r>
      <w:r w:rsidR="00CB572D" w:rsidRPr="00E21E0F">
        <w:rPr>
          <w:rFonts w:cstheme="minorHAnsi"/>
          <w:vertAlign w:val="superscript"/>
        </w:rPr>
        <w:t xml:space="preserve"> </w:t>
      </w:r>
      <w:r w:rsidR="00A217DE">
        <w:rPr>
          <w:rFonts w:cstheme="minorHAnsi"/>
          <w:vertAlign w:val="superscript"/>
        </w:rPr>
        <w:t xml:space="preserve"> </w:t>
      </w:r>
      <w:r w:rsidR="00A217DE">
        <w:rPr>
          <w:rFonts w:cstheme="minorHAnsi"/>
        </w:rPr>
        <w:t>Assertions that the Mackenzie Basin’s indigenous vegetation is not significant are not justified.</w:t>
      </w:r>
      <w:r w:rsidR="00A217DE">
        <w:rPr>
          <w:rStyle w:val="FootnoteReference"/>
          <w:rFonts w:cstheme="minorHAnsi"/>
        </w:rPr>
        <w:footnoteReference w:id="17"/>
      </w:r>
    </w:p>
    <w:p w14:paraId="1ACAEF95" w14:textId="002F4C3D" w:rsidR="00E21E0F" w:rsidRDefault="00E21E0F" w:rsidP="00E21E0F">
      <w:pPr>
        <w:pStyle w:val="ListParagraph"/>
        <w:numPr>
          <w:ilvl w:val="0"/>
          <w:numId w:val="1"/>
        </w:numPr>
        <w:spacing w:before="200"/>
        <w:contextualSpacing w:val="0"/>
        <w:jc w:val="both"/>
      </w:pPr>
      <w:r w:rsidRPr="00E21E0F">
        <w:rPr>
          <w:rFonts w:cstheme="minorHAnsi"/>
        </w:rPr>
        <w:t>Most</w:t>
      </w:r>
      <w:r w:rsidR="00A217DE">
        <w:rPr>
          <w:rFonts w:cstheme="minorHAnsi"/>
        </w:rPr>
        <w:t xml:space="preserve"> </w:t>
      </w:r>
      <w:r w:rsidRPr="00E21E0F">
        <w:rPr>
          <w:rFonts w:cstheme="minorHAnsi"/>
        </w:rPr>
        <w:t>undeveloped land on depositional landforms in the Mackenzie Basin contain</w:t>
      </w:r>
      <w:r>
        <w:rPr>
          <w:rFonts w:cstheme="minorHAnsi"/>
        </w:rPr>
        <w:t>s</w:t>
      </w:r>
      <w:r w:rsidRPr="00E21E0F">
        <w:rPr>
          <w:rFonts w:cstheme="minorHAnsi"/>
        </w:rPr>
        <w:t xml:space="preserve"> significant ecological values.</w:t>
      </w:r>
      <w:r w:rsidRPr="00E21E0F">
        <w:rPr>
          <w:rFonts w:cstheme="minorHAnsi"/>
          <w:vertAlign w:val="superscript"/>
        </w:rPr>
        <w:footnoteReference w:id="18"/>
      </w:r>
      <w:r w:rsidRPr="00E21E0F">
        <w:rPr>
          <w:rFonts w:cstheme="minorHAnsi"/>
          <w:vertAlign w:val="superscript"/>
        </w:rPr>
        <w:t xml:space="preserve"> </w:t>
      </w:r>
      <w:r w:rsidRPr="00E21E0F">
        <w:rPr>
          <w:rFonts w:cstheme="minorHAnsi"/>
        </w:rPr>
        <w:t>The landforms support distinct indigenous ecosystems which are</w:t>
      </w:r>
      <w:r>
        <w:t xml:space="preserve"> not replicated elsewhere to the same extent anywhere else in the country, and several of the ecosystems are naturally uncommon (such as outwash gravels, ephemeral wetlands, braided rivers and more). The Mackenzie Basin also contains a high degree of threatened species (including 91 species of threatened plants), thereby satisfying criteria 4 of the Canterbury RPS significance criteria. For many species the Mackenzie Basin is their stronghold.</w:t>
      </w:r>
      <w:r>
        <w:rPr>
          <w:rStyle w:val="FootnoteReference"/>
        </w:rPr>
        <w:footnoteReference w:id="19"/>
      </w:r>
      <w:r>
        <w:t xml:space="preserve"> </w:t>
      </w:r>
    </w:p>
    <w:p w14:paraId="635412B8" w14:textId="555E06F3" w:rsidR="000D1907" w:rsidRDefault="00CB572D" w:rsidP="000D1907">
      <w:pPr>
        <w:pStyle w:val="ListParagraph"/>
        <w:numPr>
          <w:ilvl w:val="0"/>
          <w:numId w:val="1"/>
        </w:numPr>
        <w:spacing w:before="200"/>
        <w:jc w:val="both"/>
      </w:pPr>
      <w:r>
        <w:lastRenderedPageBreak/>
        <w:t xml:space="preserve">Dr Walker notes in her evidence that many less developed places across the floor of the Mackenzie Basin will also meet </w:t>
      </w:r>
      <w:r w:rsidR="000D1907">
        <w:t>other</w:t>
      </w:r>
      <w:r>
        <w:t xml:space="preserve"> criteria for determining significant indigenous vegetation </w:t>
      </w:r>
      <w:r w:rsidR="000D1907">
        <w:t>in Appendix 3 of the Canterbury RPS.</w:t>
      </w:r>
      <w:r w:rsidR="000D1907">
        <w:rPr>
          <w:rStyle w:val="FootnoteReference"/>
        </w:rPr>
        <w:footnoteReference w:id="20"/>
      </w:r>
      <w:r w:rsidR="000D1907">
        <w:t xml:space="preserve"> These include occurrence within an originally rare ecosystem</w:t>
      </w:r>
      <w:r w:rsidR="000D1907">
        <w:rPr>
          <w:rStyle w:val="FootnoteReference"/>
        </w:rPr>
        <w:footnoteReference w:id="21"/>
      </w:r>
      <w:r w:rsidR="000D1907">
        <w:t xml:space="preserve"> and contributing to an important ecological linkage or network or proving an important buffering function.</w:t>
      </w:r>
      <w:r w:rsidR="000D1907">
        <w:rPr>
          <w:rStyle w:val="FootnoteReference"/>
        </w:rPr>
        <w:footnoteReference w:id="22"/>
      </w:r>
      <w:r w:rsidR="000D1907">
        <w:t xml:space="preserve"> </w:t>
      </w:r>
    </w:p>
    <w:p w14:paraId="1EB993FC" w14:textId="6935BF64" w:rsidR="008A765A" w:rsidRPr="008A765A" w:rsidRDefault="00CB572D" w:rsidP="008A765A">
      <w:pPr>
        <w:pStyle w:val="ListParagraph"/>
        <w:spacing w:before="200"/>
        <w:jc w:val="both"/>
      </w:pPr>
      <w:r>
        <w:t xml:space="preserve"> </w:t>
      </w:r>
    </w:p>
    <w:p w14:paraId="1A8422B9" w14:textId="4AA8D519" w:rsidR="00171458" w:rsidRPr="00171458" w:rsidRDefault="008A765A" w:rsidP="00171458">
      <w:pPr>
        <w:pStyle w:val="ListParagraph"/>
        <w:numPr>
          <w:ilvl w:val="0"/>
          <w:numId w:val="1"/>
        </w:numPr>
        <w:spacing w:before="200"/>
        <w:contextualSpacing w:val="0"/>
        <w:jc w:val="both"/>
        <w:rPr>
          <w:rFonts w:cs="Arial"/>
          <w:b/>
        </w:rPr>
      </w:pPr>
      <w:r>
        <w:t>The large size of the remaining sequences of undeveloped outwash and moraine contribute</w:t>
      </w:r>
      <w:r w:rsidR="00E21E0F">
        <w:t>s</w:t>
      </w:r>
      <w:r>
        <w:t xml:space="preserve"> to the significant ecological values of the Mackenzie Basin</w:t>
      </w:r>
      <w:r w:rsidR="00E21E0F">
        <w:t xml:space="preserve"> by ensuring connectivity</w:t>
      </w:r>
      <w:r>
        <w:t>.</w:t>
      </w:r>
      <w:r w:rsidRPr="008A765A">
        <w:rPr>
          <w:rStyle w:val="FootnoteReference"/>
        </w:rPr>
        <w:t xml:space="preserve"> </w:t>
      </w:r>
      <w:r>
        <w:t>Maintenance of the scale and intactness of dryland ecosystems is required to provide for the protection of these values under s6(c).</w:t>
      </w:r>
      <w:r w:rsidRPr="008A765A">
        <w:rPr>
          <w:rStyle w:val="FootnoteReference"/>
        </w:rPr>
        <w:t xml:space="preserve"> </w:t>
      </w:r>
      <w:r>
        <w:rPr>
          <w:rStyle w:val="FootnoteReference"/>
        </w:rPr>
        <w:footnoteReference w:id="23"/>
      </w:r>
    </w:p>
    <w:p w14:paraId="0316C4D2" w14:textId="0D5C1D9D" w:rsidR="00210035" w:rsidRPr="00171458" w:rsidRDefault="008A765A" w:rsidP="00171458">
      <w:pPr>
        <w:pStyle w:val="ListParagraph"/>
        <w:numPr>
          <w:ilvl w:val="0"/>
          <w:numId w:val="1"/>
        </w:numPr>
        <w:spacing w:before="200"/>
        <w:contextualSpacing w:val="0"/>
        <w:jc w:val="both"/>
        <w:rPr>
          <w:rFonts w:cs="Arial"/>
          <w:b/>
        </w:rPr>
      </w:pPr>
      <w:r>
        <w:t>EDS considers that</w:t>
      </w:r>
      <w:r w:rsidR="00171458">
        <w:t>, given its significant ecological values,</w:t>
      </w:r>
      <w:r>
        <w:t xml:space="preserve"> all unconverted land on depositional landforms, the remaining corridor of connectivity in the Mackenzie Basin, </w:t>
      </w:r>
      <w:r w:rsidR="00171458">
        <w:t xml:space="preserve">should be </w:t>
      </w:r>
      <w:r>
        <w:t xml:space="preserve">identified as significant </w:t>
      </w:r>
      <w:r w:rsidR="00171458">
        <w:t>indigenous vegetation and mapped as part of PC18</w:t>
      </w:r>
      <w:r>
        <w:t xml:space="preserve">. </w:t>
      </w:r>
      <w:r w:rsidR="00171458">
        <w:t>This</w:t>
      </w:r>
      <w:r w:rsidR="00210035">
        <w:t xml:space="preserve"> will provide certainty for landowners and the community that those areas will be managed appropriately and provided protection as required under s 6(c).</w:t>
      </w:r>
      <w:r w:rsidR="00210035">
        <w:rPr>
          <w:rStyle w:val="FootnoteReference"/>
        </w:rPr>
        <w:footnoteReference w:id="24"/>
      </w:r>
      <w:r w:rsidR="00210035">
        <w:t xml:space="preserve"> This will also give effect to Objective 9.2.3 of the Canterbury RPS which requires that areas </w:t>
      </w:r>
      <w:r w:rsidR="00E21E0F">
        <w:t>of significant indigenous vegetation</w:t>
      </w:r>
      <w:r w:rsidR="00210035">
        <w:t xml:space="preserve"> will be identified and their values and ecosystem functions protected. </w:t>
      </w:r>
    </w:p>
    <w:p w14:paraId="35E1CEF3" w14:textId="24A95752" w:rsidR="00C9280C" w:rsidRPr="00F26493" w:rsidRDefault="00C9280C" w:rsidP="00F26493">
      <w:pPr>
        <w:spacing w:before="200"/>
        <w:jc w:val="both"/>
        <w:rPr>
          <w:i/>
          <w:iCs/>
        </w:rPr>
      </w:pPr>
      <w:r w:rsidRPr="00F26493">
        <w:rPr>
          <w:i/>
          <w:iCs/>
        </w:rPr>
        <w:t xml:space="preserve">Consideration of landscape values </w:t>
      </w:r>
    </w:p>
    <w:p w14:paraId="66D9B2DB" w14:textId="0CF84BFF" w:rsidR="00877838" w:rsidRDefault="00877838" w:rsidP="00877838">
      <w:pPr>
        <w:pStyle w:val="ListParagraph"/>
        <w:numPr>
          <w:ilvl w:val="0"/>
          <w:numId w:val="1"/>
        </w:numPr>
        <w:spacing w:before="200"/>
        <w:contextualSpacing w:val="0"/>
        <w:jc w:val="both"/>
      </w:pPr>
      <w:r>
        <w:t xml:space="preserve">PC18 </w:t>
      </w:r>
      <w:r w:rsidR="00171458">
        <w:t>fails</w:t>
      </w:r>
      <w:r>
        <w:t xml:space="preserve"> to address the overlap between s6(b) and (c) values. </w:t>
      </w:r>
      <w:r w:rsidR="003E2E49">
        <w:t xml:space="preserve">Biodiversity values and landscape values are intimately intertwined in the Mackenzie Basin. </w:t>
      </w:r>
      <w:r w:rsidR="00171458">
        <w:t>The Basin landscape and geomorphology are the source of, and sustain, the indigenous biodiversity present.</w:t>
      </w:r>
      <w:r w:rsidR="00171458">
        <w:rPr>
          <w:rStyle w:val="FootnoteReference"/>
        </w:rPr>
        <w:footnoteReference w:id="25"/>
      </w:r>
      <w:r w:rsidR="00171458">
        <w:t xml:space="preserve"> </w:t>
      </w:r>
      <w:r w:rsidR="008D43E8">
        <w:t xml:space="preserve">This has </w:t>
      </w:r>
      <w:r w:rsidR="008D43E8" w:rsidRPr="00432828">
        <w:t>been acknowledged by the Environment Court</w:t>
      </w:r>
      <w:r w:rsidR="00084F39" w:rsidRPr="00432828">
        <w:t xml:space="preserve"> in PC13</w:t>
      </w:r>
      <w:r w:rsidR="008D43E8" w:rsidRPr="00432828">
        <w:t>.</w:t>
      </w:r>
      <w:r w:rsidR="008D43E8" w:rsidRPr="00432828">
        <w:rPr>
          <w:rStyle w:val="FootnoteReference"/>
        </w:rPr>
        <w:footnoteReference w:id="26"/>
      </w:r>
    </w:p>
    <w:p w14:paraId="26CE1812" w14:textId="2F606BAD" w:rsidR="00A217DE" w:rsidRPr="00133CB8" w:rsidRDefault="00877838" w:rsidP="00DF5282">
      <w:pPr>
        <w:pStyle w:val="ListParagraph"/>
        <w:numPr>
          <w:ilvl w:val="0"/>
          <w:numId w:val="1"/>
        </w:numPr>
        <w:spacing w:before="200"/>
        <w:contextualSpacing w:val="0"/>
        <w:jc w:val="both"/>
      </w:pPr>
      <w:r>
        <w:t xml:space="preserve">The entire Mackenzie Basin has been identified as an ONL to be protected under s6(b) RMA. Clearance of vegetation can have significant adverse effects on these values. </w:t>
      </w:r>
      <w:r w:rsidR="00171458">
        <w:t xml:space="preserve"> EDS considers th</w:t>
      </w:r>
      <w:r w:rsidR="00FF5700">
        <w:t>at</w:t>
      </w:r>
      <w:r w:rsidR="00171458">
        <w:t xml:space="preserve"> in order for </w:t>
      </w:r>
      <w:r w:rsidR="008D43E8" w:rsidRPr="00171458">
        <w:rPr>
          <w:rFonts w:cstheme="minorHAnsi"/>
        </w:rPr>
        <w:t xml:space="preserve">Council to fulfil its obligations under s6(b) RMA and under the District Plan’s landscape objectives and policies (introduced by PC13) it is necessary for this overlap to be recognised </w:t>
      </w:r>
      <w:r w:rsidR="00171458">
        <w:rPr>
          <w:rFonts w:cstheme="minorHAnsi"/>
        </w:rPr>
        <w:t xml:space="preserve">in the provisions relating to vegetation clearance and </w:t>
      </w:r>
      <w:r w:rsidR="008D43E8" w:rsidRPr="00171458">
        <w:rPr>
          <w:rFonts w:cstheme="minorHAnsi"/>
        </w:rPr>
        <w:t>discretion reserved to consider adverse effects on landscape values.</w:t>
      </w:r>
      <w:r w:rsidR="00007F8B">
        <w:rPr>
          <w:rFonts w:cstheme="minorHAnsi"/>
        </w:rPr>
        <w:t xml:space="preserve"> This will also ensure consistency with the landscape provisions in Section 7 of the Mackenzie District Plan. </w:t>
      </w:r>
    </w:p>
    <w:p w14:paraId="751506B3" w14:textId="3F75D736" w:rsidR="00DF5282" w:rsidRPr="00DF5282" w:rsidRDefault="00DF5282" w:rsidP="00DF5282">
      <w:pPr>
        <w:spacing w:before="200"/>
        <w:jc w:val="both"/>
        <w:rPr>
          <w:b/>
          <w:bCs/>
        </w:rPr>
      </w:pPr>
      <w:r w:rsidRPr="00DF5282">
        <w:rPr>
          <w:b/>
          <w:bCs/>
        </w:rPr>
        <w:t xml:space="preserve">DEFINITIONS </w:t>
      </w:r>
    </w:p>
    <w:p w14:paraId="0F879978" w14:textId="4C91739F" w:rsidR="003E2E49" w:rsidRPr="005826CA" w:rsidRDefault="005826CA" w:rsidP="005826CA">
      <w:pPr>
        <w:spacing w:before="200"/>
        <w:jc w:val="both"/>
        <w:rPr>
          <w:i/>
          <w:iCs/>
        </w:rPr>
      </w:pPr>
      <w:r w:rsidRPr="005826CA">
        <w:rPr>
          <w:i/>
          <w:iCs/>
        </w:rPr>
        <w:t>D</w:t>
      </w:r>
      <w:r w:rsidR="003E2E49" w:rsidRPr="005826CA">
        <w:rPr>
          <w:i/>
          <w:iCs/>
        </w:rPr>
        <w:t>efinition of indigenous biodiversity</w:t>
      </w:r>
    </w:p>
    <w:p w14:paraId="2654B7BD" w14:textId="258FD796" w:rsidR="00ED7F14" w:rsidRDefault="005D72B4" w:rsidP="00ED7F14">
      <w:pPr>
        <w:pStyle w:val="ListParagraph"/>
        <w:numPr>
          <w:ilvl w:val="0"/>
          <w:numId w:val="1"/>
        </w:numPr>
        <w:spacing w:before="200"/>
        <w:contextualSpacing w:val="0"/>
        <w:jc w:val="both"/>
      </w:pPr>
      <w:r>
        <w:t>EDS s</w:t>
      </w:r>
      <w:r w:rsidR="005826CA">
        <w:t>upport</w:t>
      </w:r>
      <w:r>
        <w:t>s</w:t>
      </w:r>
      <w:r w:rsidR="005826CA">
        <w:t xml:space="preserve"> the definition </w:t>
      </w:r>
      <w:r>
        <w:t xml:space="preserve">of ‘indigenous biodiversity’ </w:t>
      </w:r>
      <w:r w:rsidR="005826CA">
        <w:t>as recommended in the s42A report</w:t>
      </w:r>
      <w:r w:rsidR="00B5623C">
        <w:t>.</w:t>
      </w:r>
      <w:r w:rsidR="00AF0D14">
        <w:t xml:space="preserve"> </w:t>
      </w:r>
    </w:p>
    <w:p w14:paraId="52B6D6F2" w14:textId="12D0E81E" w:rsidR="00AF0D14" w:rsidRDefault="00AF0D14" w:rsidP="00ED7F14">
      <w:pPr>
        <w:pStyle w:val="ListParagraph"/>
        <w:numPr>
          <w:ilvl w:val="0"/>
          <w:numId w:val="1"/>
        </w:numPr>
        <w:spacing w:before="200"/>
        <w:contextualSpacing w:val="0"/>
        <w:jc w:val="both"/>
      </w:pPr>
      <w:r>
        <w:t xml:space="preserve">The </w:t>
      </w:r>
      <w:r w:rsidR="00ED7F14">
        <w:t xml:space="preserve">proposed </w:t>
      </w:r>
      <w:r>
        <w:t>definition includes indigenous species in partially</w:t>
      </w:r>
      <w:r w:rsidR="00376A85">
        <w:t xml:space="preserve"> </w:t>
      </w:r>
      <w:r>
        <w:t xml:space="preserve">converted areas of the Mackenzie District, as well as those in unconverted areas (which </w:t>
      </w:r>
      <w:r w:rsidR="00ED7F14">
        <w:t>are</w:t>
      </w:r>
      <w:r>
        <w:t xml:space="preserve"> likely to be significant).</w:t>
      </w:r>
      <w:r w:rsidRPr="00ED7F14">
        <w:rPr>
          <w:vertAlign w:val="superscript"/>
        </w:rPr>
        <w:footnoteReference w:id="27"/>
      </w:r>
      <w:r w:rsidRPr="00ED7F14">
        <w:rPr>
          <w:vertAlign w:val="superscript"/>
        </w:rPr>
        <w:t xml:space="preserve"> </w:t>
      </w:r>
      <w:r>
        <w:lastRenderedPageBreak/>
        <w:t>This enables vegetation clearance to be controlled across all areas of indigenous vegetation, fulfilling the dual objectives of Council in regard to indigenous biodiversity under ss 6(c) and 31(b)(iii) RMA.</w:t>
      </w:r>
      <w:r w:rsidR="00ED7F14">
        <w:t xml:space="preserve"> The definition also aligns with the definition in the proposed NPSIB.</w:t>
      </w:r>
      <w:r>
        <w:t xml:space="preserve"> </w:t>
      </w:r>
    </w:p>
    <w:p w14:paraId="012BB9EB" w14:textId="4011DAE6" w:rsidR="00AF0D14" w:rsidRDefault="00ED7F14" w:rsidP="00ED7F14">
      <w:pPr>
        <w:pStyle w:val="ListParagraph"/>
        <w:numPr>
          <w:ilvl w:val="0"/>
          <w:numId w:val="1"/>
        </w:numPr>
        <w:spacing w:before="200"/>
        <w:contextualSpacing w:val="0"/>
        <w:jc w:val="both"/>
      </w:pPr>
      <w:r>
        <w:t>A definition of indigenous vegetation that excludes a percentage of indigenous vegetation (such as only applying to indigenous vegetation with over 30% coverage by indigenous species)</w:t>
      </w:r>
      <w:r>
        <w:rPr>
          <w:rStyle w:val="FootnoteReference"/>
        </w:rPr>
        <w:footnoteReference w:id="28"/>
      </w:r>
      <w:r>
        <w:t xml:space="preserve"> is not supported. Not only will this not “maintain” indigenous biodiversity as required under the RMA, but it is also not ecologically appropriate. Many </w:t>
      </w:r>
      <w:r w:rsidR="00BC01C9">
        <w:t>B</w:t>
      </w:r>
      <w:r>
        <w:t>asin-floor plant communities are degraded and are likely to include a high component of exotic species and/or bare ground.</w:t>
      </w:r>
      <w:r>
        <w:rPr>
          <w:rStyle w:val="FootnoteReference"/>
        </w:rPr>
        <w:footnoteReference w:id="29"/>
      </w:r>
    </w:p>
    <w:p w14:paraId="6F664355" w14:textId="3DBE4162" w:rsidR="000A1A3A" w:rsidRDefault="000A1A3A" w:rsidP="005B1E9B">
      <w:pPr>
        <w:spacing w:before="200"/>
        <w:jc w:val="both"/>
      </w:pPr>
      <w:r w:rsidRPr="005B1E9B">
        <w:rPr>
          <w:i/>
          <w:iCs/>
        </w:rPr>
        <w:t>Definition of vegetation clearance</w:t>
      </w:r>
      <w:r w:rsidR="001400B7">
        <w:t xml:space="preserve"> </w:t>
      </w:r>
    </w:p>
    <w:p w14:paraId="11E3BC58" w14:textId="07117C66" w:rsidR="00B5623C" w:rsidRDefault="000D1907" w:rsidP="00ED7F14">
      <w:pPr>
        <w:pStyle w:val="ListParagraph"/>
        <w:numPr>
          <w:ilvl w:val="0"/>
          <w:numId w:val="1"/>
        </w:numPr>
        <w:spacing w:before="200"/>
        <w:contextualSpacing w:val="0"/>
        <w:jc w:val="both"/>
      </w:pPr>
      <w:r>
        <w:t>The</w:t>
      </w:r>
      <w:r w:rsidR="00B5623C">
        <w:t xml:space="preserve"> Mackenzie District has experience</w:t>
      </w:r>
      <w:r w:rsidR="00FF5700">
        <w:t>d</w:t>
      </w:r>
      <w:r w:rsidR="00B5623C">
        <w:t xml:space="preserve"> widespread loss </w:t>
      </w:r>
      <w:r>
        <w:t xml:space="preserve">of indigenous vegetation. </w:t>
      </w:r>
      <w:r w:rsidR="00C53B94">
        <w:t>In the Mackenzie Basin a number of activities have contributed to this loss and degradation</w:t>
      </w:r>
      <w:r w:rsidR="00B5623C">
        <w:t>.</w:t>
      </w:r>
      <w:r w:rsidR="00B5623C">
        <w:rPr>
          <w:rStyle w:val="FootnoteReference"/>
        </w:rPr>
        <w:footnoteReference w:id="30"/>
      </w:r>
      <w:r w:rsidR="00ED7F14">
        <w:t xml:space="preserve"> EDS supports a</w:t>
      </w:r>
      <w:r w:rsidR="0098363A">
        <w:t xml:space="preserve"> definition that encompasses all activities that can result in the clearance or modification of vegetation.</w:t>
      </w:r>
      <w:r w:rsidR="0098363A">
        <w:rPr>
          <w:rStyle w:val="FootnoteReference"/>
        </w:rPr>
        <w:footnoteReference w:id="31"/>
      </w:r>
    </w:p>
    <w:p w14:paraId="2A07B0C5" w14:textId="715B8C29" w:rsidR="000D1907" w:rsidRDefault="0098363A" w:rsidP="0098363A">
      <w:pPr>
        <w:pStyle w:val="ListParagraph"/>
        <w:numPr>
          <w:ilvl w:val="0"/>
          <w:numId w:val="1"/>
        </w:numPr>
        <w:spacing w:before="200"/>
        <w:contextualSpacing w:val="0"/>
        <w:jc w:val="both"/>
      </w:pPr>
      <w:r>
        <w:t>The Environment Court in PC13 confirmed that fire, pests, weeds, application of herbicides, oversowing, topdressing, direct drilling and irrigation have all contributed to the modification of natural ecosystems in the Mackenzie Basin.</w:t>
      </w:r>
      <w:r>
        <w:rPr>
          <w:rStyle w:val="FootnoteReference"/>
        </w:rPr>
        <w:footnoteReference w:id="32"/>
      </w:r>
      <w:r>
        <w:t xml:space="preserve"> In particular, much of the </w:t>
      </w:r>
      <w:r w:rsidR="000D1907">
        <w:t>complete loss or conversion of ecosystems that has occurred in recent years has been largely due to the increase in irrigated land.</w:t>
      </w:r>
      <w:r>
        <w:rPr>
          <w:rStyle w:val="FootnoteReference"/>
        </w:rPr>
        <w:footnoteReference w:id="33"/>
      </w:r>
      <w:r w:rsidR="000D1907">
        <w:t xml:space="preserve"> </w:t>
      </w:r>
      <w:r>
        <w:t>EDS supports reference to all of these methods.</w:t>
      </w:r>
    </w:p>
    <w:p w14:paraId="711680E7" w14:textId="77777777" w:rsidR="00E21E0F" w:rsidRDefault="0098363A" w:rsidP="00BC01C9">
      <w:pPr>
        <w:pStyle w:val="ListParagraph"/>
        <w:numPr>
          <w:ilvl w:val="0"/>
          <w:numId w:val="1"/>
        </w:numPr>
        <w:spacing w:before="200"/>
        <w:contextualSpacing w:val="0"/>
        <w:jc w:val="both"/>
      </w:pPr>
      <w:r>
        <w:t>Intensive grazing</w:t>
      </w:r>
      <w:r w:rsidR="00BC01C9">
        <w:t xml:space="preserve">, such as </w:t>
      </w:r>
      <w:proofErr w:type="spellStart"/>
      <w:r w:rsidR="00BC01C9">
        <w:t>mobstocking</w:t>
      </w:r>
      <w:proofErr w:type="spellEnd"/>
      <w:r w:rsidR="00BC01C9">
        <w:t>,</w:t>
      </w:r>
      <w:r>
        <w:t xml:space="preserve"> can</w:t>
      </w:r>
      <w:r w:rsidR="00BC01C9">
        <w:t xml:space="preserve"> also</w:t>
      </w:r>
      <w:r>
        <w:t xml:space="preserve"> significantly affect indigenous vegetation</w:t>
      </w:r>
      <w:r w:rsidR="00BC01C9">
        <w:t xml:space="preserve">, </w:t>
      </w:r>
      <w:r w:rsidR="00E21E0F">
        <w:t xml:space="preserve">especially if </w:t>
      </w:r>
      <w:r w:rsidR="00BC01C9">
        <w:t>designed to assist with the establishment of exotic grasses</w:t>
      </w:r>
      <w:r>
        <w:rPr>
          <w:rStyle w:val="FootnoteReference"/>
        </w:rPr>
        <w:footnoteReference w:id="34"/>
      </w:r>
      <w:r>
        <w:t xml:space="preserve"> </w:t>
      </w:r>
      <w:proofErr w:type="spellStart"/>
      <w:r w:rsidR="00BC01C9">
        <w:t>Mobstocking</w:t>
      </w:r>
      <w:proofErr w:type="spellEnd"/>
      <w:r w:rsidR="00BC01C9">
        <w:t xml:space="preserve"> is also included within the definition of clearance in the proposed NPSIB. </w:t>
      </w:r>
    </w:p>
    <w:p w14:paraId="601CF0E9" w14:textId="075C1BBA" w:rsidR="0098363A" w:rsidRDefault="00BC01C9" w:rsidP="00BC01C9">
      <w:pPr>
        <w:pStyle w:val="ListParagraph"/>
        <w:numPr>
          <w:ilvl w:val="0"/>
          <w:numId w:val="1"/>
        </w:numPr>
        <w:spacing w:before="200"/>
        <w:contextualSpacing w:val="0"/>
        <w:jc w:val="both"/>
      </w:pPr>
      <w:r>
        <w:t xml:space="preserve">EDS supports reference in the definition of vegetation clearance to intensive grazing, such as </w:t>
      </w:r>
      <w:proofErr w:type="spellStart"/>
      <w:r>
        <w:t>mobstocking</w:t>
      </w:r>
      <w:proofErr w:type="spellEnd"/>
      <w:r>
        <w:t xml:space="preserve"> and agrees</w:t>
      </w:r>
      <w:r w:rsidR="0098363A">
        <w:t xml:space="preserve"> with the Department of Conservation that reference to ‘</w:t>
      </w:r>
      <w:proofErr w:type="spellStart"/>
      <w:r w:rsidR="0098363A">
        <w:t>mobstocking</w:t>
      </w:r>
      <w:proofErr w:type="spellEnd"/>
      <w:r w:rsidR="0098363A">
        <w:t>’</w:t>
      </w:r>
      <w:r>
        <w:t xml:space="preserve"> rather than ‘intensive grazing’ may address some of the concerns raised in the s42A report.</w:t>
      </w:r>
      <w:r>
        <w:rPr>
          <w:rStyle w:val="FootnoteReference"/>
        </w:rPr>
        <w:footnoteReference w:id="35"/>
      </w:r>
      <w:r>
        <w:t xml:space="preserve"> </w:t>
      </w:r>
    </w:p>
    <w:p w14:paraId="35209AA0" w14:textId="1091F676" w:rsidR="00BC01C9" w:rsidRDefault="00BC01C9" w:rsidP="00084F39">
      <w:pPr>
        <w:pStyle w:val="ListParagraph"/>
        <w:numPr>
          <w:ilvl w:val="0"/>
          <w:numId w:val="1"/>
        </w:numPr>
        <w:spacing w:before="200"/>
        <w:contextualSpacing w:val="0"/>
        <w:jc w:val="both"/>
      </w:pPr>
      <w:r>
        <w:t>EDS also supports the inclusion of edge effects within the definition of vegetation clearance. As set out in Dr Walker’s evidence,</w:t>
      </w:r>
      <w:r w:rsidR="00084F39">
        <w:t xml:space="preserve"> there is evidence that intensive land development and increased exotic grass cover is leading to the progressi</w:t>
      </w:r>
      <w:r w:rsidR="00FF5700">
        <w:t>ve</w:t>
      </w:r>
      <w:r w:rsidR="00084F39">
        <w:t xml:space="preserve"> invasion into adjacent indigenous dryland vegetation.</w:t>
      </w:r>
      <w:r w:rsidR="00084F39">
        <w:rPr>
          <w:rStyle w:val="FootnoteReference"/>
        </w:rPr>
        <w:footnoteReference w:id="36"/>
      </w:r>
      <w:r w:rsidR="00084F39">
        <w:t xml:space="preserve"> These </w:t>
      </w:r>
      <w:r w:rsidR="00084F39" w:rsidRPr="00084F39">
        <w:t>effects are resulting in ecological fragmentation and further ecosystem degradation and loss of indigenous biodiversity.</w:t>
      </w:r>
      <w:r w:rsidR="00084F39" w:rsidRPr="00084F39">
        <w:rPr>
          <w:rStyle w:val="FootnoteReference"/>
        </w:rPr>
        <w:footnoteReference w:id="37"/>
      </w:r>
      <w:r w:rsidR="00084F39" w:rsidRPr="00084F39">
        <w:t xml:space="preserve"> Many of the rare and threatened species present on </w:t>
      </w:r>
      <w:r w:rsidRPr="00084F39">
        <w:t>the depositional landforms of the Mackenzie Basin are particularly sensitive to edge-effects.</w:t>
      </w:r>
      <w:r w:rsidRPr="00084F39">
        <w:rPr>
          <w:rStyle w:val="FootnoteReference"/>
        </w:rPr>
        <w:footnoteReference w:id="38"/>
      </w:r>
      <w:r w:rsidRPr="00084F39">
        <w:t xml:space="preserve"> </w:t>
      </w:r>
    </w:p>
    <w:p w14:paraId="1FFF2227" w14:textId="73657739" w:rsidR="00BC01C9" w:rsidRDefault="00BC01C9" w:rsidP="00BC01C9">
      <w:pPr>
        <w:pStyle w:val="ListParagraph"/>
        <w:numPr>
          <w:ilvl w:val="0"/>
          <w:numId w:val="1"/>
        </w:numPr>
        <w:spacing w:before="200"/>
        <w:contextualSpacing w:val="0"/>
        <w:jc w:val="both"/>
      </w:pPr>
      <w:proofErr w:type="spellStart"/>
      <w:r>
        <w:lastRenderedPageBreak/>
        <w:t>Mobstocking</w:t>
      </w:r>
      <w:proofErr w:type="spellEnd"/>
      <w:r>
        <w:t xml:space="preserve"> and edge-effects both result in the modification</w:t>
      </w:r>
      <w:r w:rsidR="00084F39">
        <w:t xml:space="preserve">, </w:t>
      </w:r>
      <w:r>
        <w:t xml:space="preserve">clearance </w:t>
      </w:r>
      <w:r w:rsidR="00084F39">
        <w:t xml:space="preserve">or loss </w:t>
      </w:r>
      <w:r>
        <w:t xml:space="preserve">of </w:t>
      </w:r>
      <w:r w:rsidR="00084F39">
        <w:t xml:space="preserve">indigenous </w:t>
      </w:r>
      <w:r>
        <w:t>vegetation, and their inclusion within the definition of vegetation clearance will prevent large scale clearance of indigenous vegetation by these means.</w:t>
      </w:r>
    </w:p>
    <w:p w14:paraId="29D75F41" w14:textId="70AE2311" w:rsidR="00C9280C" w:rsidRPr="00C9280C" w:rsidRDefault="00C9280C" w:rsidP="00C9280C">
      <w:pPr>
        <w:spacing w:before="200"/>
        <w:jc w:val="both"/>
        <w:rPr>
          <w:b/>
          <w:bCs/>
        </w:rPr>
      </w:pPr>
      <w:r w:rsidRPr="00C9280C">
        <w:rPr>
          <w:b/>
          <w:bCs/>
        </w:rPr>
        <w:t xml:space="preserve">IMPROVED PASTURE </w:t>
      </w:r>
    </w:p>
    <w:p w14:paraId="3A423F40" w14:textId="0DB4AD27" w:rsidR="00CE0D89" w:rsidRDefault="00CE0D89" w:rsidP="003321CE">
      <w:pPr>
        <w:pStyle w:val="ListParagraph"/>
        <w:numPr>
          <w:ilvl w:val="0"/>
          <w:numId w:val="1"/>
        </w:numPr>
        <w:spacing w:before="200"/>
        <w:contextualSpacing w:val="0"/>
        <w:jc w:val="both"/>
      </w:pPr>
      <w:r>
        <w:t xml:space="preserve">The concept of ‘improved pasture’ creates considerable </w:t>
      </w:r>
      <w:r w:rsidR="0082679D">
        <w:t>difficult</w:t>
      </w:r>
      <w:r>
        <w:t xml:space="preserve">ies. </w:t>
      </w:r>
      <w:r w:rsidRPr="00CE0D89">
        <w:t>‘Improved pasture exists on a spectrum from wholly exotic grass species, to mixed exotic-indigenous grasslands, or exotic grasslands interspersed within indigenous shrublands. As a result</w:t>
      </w:r>
      <w:r w:rsidR="003134B3">
        <w:t>,</w:t>
      </w:r>
      <w:r w:rsidRPr="00CE0D89">
        <w:t xml:space="preserve"> improved pasture may have no, or anywhere from low to high, indigenous ecological value’.</w:t>
      </w:r>
      <w:r w:rsidR="0082679D">
        <w:t xml:space="preserve"> </w:t>
      </w:r>
      <w:r>
        <w:rPr>
          <w:rStyle w:val="FootnoteReference"/>
        </w:rPr>
        <w:footnoteReference w:id="39"/>
      </w:r>
      <w:r w:rsidR="00C73A72">
        <w:t xml:space="preserve"> The notified definition did not address these difficulties and was both uncertain and ambiguous. </w:t>
      </w:r>
    </w:p>
    <w:p w14:paraId="6A446D96" w14:textId="4DC13BA0" w:rsidR="00C73A72" w:rsidRDefault="004D394E" w:rsidP="00C73A72">
      <w:pPr>
        <w:pStyle w:val="ListParagraph"/>
        <w:numPr>
          <w:ilvl w:val="0"/>
          <w:numId w:val="1"/>
        </w:numPr>
        <w:spacing w:before="200"/>
        <w:contextualSpacing w:val="0"/>
        <w:jc w:val="both"/>
      </w:pPr>
      <w:r>
        <w:t>Clearance</w:t>
      </w:r>
      <w:r w:rsidR="00CE0D89">
        <w:t xml:space="preserve"> of indigenous vegetation within an area of improved pasture </w:t>
      </w:r>
      <w:r>
        <w:t>is provided for</w:t>
      </w:r>
      <w:r w:rsidR="00CE0D89">
        <w:t xml:space="preserve"> </w:t>
      </w:r>
      <w:r w:rsidR="00FF5700">
        <w:t xml:space="preserve">as </w:t>
      </w:r>
      <w:r w:rsidR="00CE0D89">
        <w:t>a permitted activity</w:t>
      </w:r>
      <w:r>
        <w:t>, and as such</w:t>
      </w:r>
      <w:r w:rsidR="00CE0D89">
        <w:t xml:space="preserve"> Council h</w:t>
      </w:r>
      <w:r>
        <w:t>as</w:t>
      </w:r>
      <w:r w:rsidR="00CE0D89">
        <w:t xml:space="preserve"> no control over clearance within these areas</w:t>
      </w:r>
      <w:r>
        <w:t>. In order to prevent the potential wide-scale loss of indigenous vegetation</w:t>
      </w:r>
      <w:r w:rsidR="00CE0D89">
        <w:t xml:space="preserve"> this exception needs to be tightly formulated</w:t>
      </w:r>
      <w:r>
        <w:t xml:space="preserve">. </w:t>
      </w:r>
    </w:p>
    <w:p w14:paraId="3A262DC2" w14:textId="2792A1C5" w:rsidR="005826CA" w:rsidRDefault="00C73A72" w:rsidP="00C73A72">
      <w:pPr>
        <w:pStyle w:val="ListParagraph"/>
        <w:numPr>
          <w:ilvl w:val="0"/>
          <w:numId w:val="1"/>
        </w:numPr>
        <w:spacing w:before="200"/>
        <w:contextualSpacing w:val="0"/>
        <w:jc w:val="both"/>
      </w:pPr>
      <w:r>
        <w:t xml:space="preserve">EDS strongly supports the mapping of improved pasture as recommended by Mr Harding. </w:t>
      </w:r>
      <w:r w:rsidR="004D394E">
        <w:t>The use of the proposed definition and map will avoid the ambiguity associated with the notified definition and will remove the contestability that has led to considerable loss of the Mackenzie Basin’s indigenous biodiversity</w:t>
      </w:r>
      <w:r w:rsidR="004D394E" w:rsidRPr="00664C50">
        <w:t xml:space="preserve"> </w:t>
      </w:r>
      <w:r w:rsidR="004D394E">
        <w:t>in recent years.</w:t>
      </w:r>
      <w:r w:rsidR="004D394E">
        <w:rPr>
          <w:rStyle w:val="FootnoteReference"/>
        </w:rPr>
        <w:footnoteReference w:id="40"/>
      </w:r>
      <w:r w:rsidR="004D394E">
        <w:t xml:space="preserve"> </w:t>
      </w:r>
      <w:r w:rsidR="00C9280C">
        <w:t>Mapping provides</w:t>
      </w:r>
      <w:r w:rsidR="004D394E">
        <w:t xml:space="preserve"> clarity and</w:t>
      </w:r>
      <w:r w:rsidR="00C9280C">
        <w:t xml:space="preserve"> certainty</w:t>
      </w:r>
      <w:r w:rsidR="0082679D">
        <w:t xml:space="preserve"> to plan users and decision</w:t>
      </w:r>
      <w:r w:rsidR="00FF5700">
        <w:t>-</w:t>
      </w:r>
      <w:r w:rsidR="0082679D">
        <w:t>makers alike</w:t>
      </w:r>
      <w:r w:rsidR="00BA2BD9">
        <w:t xml:space="preserve"> and</w:t>
      </w:r>
      <w:r w:rsidR="004D394E">
        <w:t xml:space="preserve"> w</w:t>
      </w:r>
      <w:r w:rsidR="00BA2BD9">
        <w:t xml:space="preserve">ill </w:t>
      </w:r>
      <w:r w:rsidR="004D394E">
        <w:t>enable the</w:t>
      </w:r>
      <w:r>
        <w:t xml:space="preserve"> proper</w:t>
      </w:r>
      <w:r w:rsidR="004D394E">
        <w:t xml:space="preserve"> maintenance and protection of indigenous biodiversity in the Mackenzie District.</w:t>
      </w:r>
    </w:p>
    <w:p w14:paraId="6EDD8AE7" w14:textId="3C7028DC" w:rsidR="00C73A72" w:rsidRDefault="00C73A72" w:rsidP="00E21E0F">
      <w:pPr>
        <w:pStyle w:val="ListParagraph"/>
        <w:numPr>
          <w:ilvl w:val="0"/>
          <w:numId w:val="1"/>
        </w:numPr>
        <w:spacing w:before="200"/>
        <w:contextualSpacing w:val="0"/>
        <w:jc w:val="both"/>
      </w:pPr>
      <w:r>
        <w:t>EDS considers the process for preparing maps of converted and partially converted land in the Mackenzie Basin is sound. These are draft maps and are subject to confirmation through more detailed checking and ground-truthing. This will enable consultation with landowners affected.</w:t>
      </w:r>
      <w:r w:rsidR="00E21E0F">
        <w:t xml:space="preserve"> </w:t>
      </w:r>
      <w:r>
        <w:t>Identification of areas of converted and partially converted land in the Eastern Mackenzie District can be identified through a similar process using aerial imagery and ground-truthing.</w:t>
      </w:r>
      <w:r>
        <w:rPr>
          <w:rStyle w:val="FootnoteReference"/>
        </w:rPr>
        <w:footnoteReference w:id="41"/>
      </w:r>
    </w:p>
    <w:p w14:paraId="63C315C6" w14:textId="00C82DC5" w:rsidR="009A7936" w:rsidRDefault="0082679D" w:rsidP="003321CE">
      <w:pPr>
        <w:pStyle w:val="ListParagraph"/>
        <w:numPr>
          <w:ilvl w:val="0"/>
          <w:numId w:val="1"/>
        </w:numPr>
        <w:spacing w:before="200"/>
        <w:contextualSpacing w:val="0"/>
        <w:jc w:val="both"/>
      </w:pPr>
      <w:r>
        <w:t>EDS does not consider this definition to be ‘unworkable’</w:t>
      </w:r>
      <w:r>
        <w:rPr>
          <w:rStyle w:val="FootnoteReference"/>
        </w:rPr>
        <w:footnoteReference w:id="42"/>
      </w:r>
      <w:r>
        <w:t xml:space="preserve"> nor does it</w:t>
      </w:r>
      <w:r w:rsidR="003E2E49">
        <w:t xml:space="preserve"> </w:t>
      </w:r>
      <w:r w:rsidR="0009299B">
        <w:t xml:space="preserve">support the assertion by other parties that the May 2020 date included in the </w:t>
      </w:r>
      <w:r w:rsidR="00F75B4C">
        <w:t>definition will make it impossible to prove.</w:t>
      </w:r>
      <w:r w:rsidR="00F75B4C">
        <w:rPr>
          <w:rStyle w:val="FootnoteReference"/>
        </w:rPr>
        <w:footnoteReference w:id="43"/>
      </w:r>
      <w:r w:rsidR="00F75B4C">
        <w:t xml:space="preserve"> </w:t>
      </w:r>
      <w:r w:rsidR="00BA2BD9">
        <w:t>It is not unusual for rules to include a cut-off date, and the</w:t>
      </w:r>
      <w:r>
        <w:t xml:space="preserve"> May 2020 date is appropriate as it lines up with the date of the satellite images on which the maps are based. </w:t>
      </w:r>
    </w:p>
    <w:p w14:paraId="5E905B2F" w14:textId="7CAC8E3F" w:rsidR="003321CE" w:rsidRPr="005B1CF7" w:rsidRDefault="00AC5CC9" w:rsidP="005B1CF7">
      <w:pPr>
        <w:autoSpaceDE w:val="0"/>
        <w:autoSpaceDN w:val="0"/>
        <w:adjustRightInd w:val="0"/>
        <w:spacing w:line="240" w:lineRule="auto"/>
        <w:rPr>
          <w:rFonts w:ascii="Calibri" w:hAnsi="Calibri" w:cs="Calibri"/>
          <w:b/>
          <w:bCs/>
        </w:rPr>
      </w:pPr>
      <w:r w:rsidRPr="00AC5CC9">
        <w:rPr>
          <w:rFonts w:ascii="Calibri" w:hAnsi="Calibri" w:cs="Calibri"/>
          <w:b/>
          <w:bCs/>
        </w:rPr>
        <w:t>NO NET LOSS AND THE USE OF OFFSETTING</w:t>
      </w:r>
    </w:p>
    <w:p w14:paraId="46A6B446" w14:textId="5D01A5EB" w:rsidR="006B38DF" w:rsidRDefault="00007F8B" w:rsidP="00980A48">
      <w:pPr>
        <w:pStyle w:val="ListParagraph"/>
        <w:numPr>
          <w:ilvl w:val="0"/>
          <w:numId w:val="1"/>
        </w:numPr>
        <w:spacing w:before="200"/>
        <w:contextualSpacing w:val="0"/>
        <w:jc w:val="both"/>
      </w:pPr>
      <w:r>
        <w:t xml:space="preserve">EDS does not support </w:t>
      </w:r>
      <w:r w:rsidR="006B38DF">
        <w:t>Policy 2 as recommended in the s42A report</w:t>
      </w:r>
      <w:r w:rsidR="00E21E0F">
        <w:t xml:space="preserve"> and considers the </w:t>
      </w:r>
      <w:r w:rsidR="006B38DF">
        <w:t xml:space="preserve">report writer </w:t>
      </w:r>
      <w:r w:rsidR="00E21E0F">
        <w:t xml:space="preserve">has </w:t>
      </w:r>
      <w:r w:rsidR="006B38DF">
        <w:t>conflate</w:t>
      </w:r>
      <w:r w:rsidR="00E21E0F">
        <w:t xml:space="preserve">d </w:t>
      </w:r>
      <w:r w:rsidR="006B38DF">
        <w:t>the concepts of “no net loss” and “protection”</w:t>
      </w:r>
      <w:r w:rsidR="00980A48">
        <w:t xml:space="preserve">. </w:t>
      </w:r>
      <w:r w:rsidR="006B38DF">
        <w:t xml:space="preserve">Protection and no net loss are separate </w:t>
      </w:r>
      <w:r w:rsidR="00E21E0F">
        <w:t xml:space="preserve">and distinct </w:t>
      </w:r>
      <w:r w:rsidR="006B38DF">
        <w:t>concepts.</w:t>
      </w:r>
      <w:r w:rsidR="00980A48">
        <w:rPr>
          <w:rStyle w:val="FootnoteReference"/>
        </w:rPr>
        <w:footnoteReference w:id="44"/>
      </w:r>
      <w:r w:rsidR="006B38DF">
        <w:t xml:space="preserve"> </w:t>
      </w:r>
    </w:p>
    <w:p w14:paraId="76941EA1" w14:textId="77777777" w:rsidR="00E21E0F" w:rsidRDefault="006B38DF" w:rsidP="00980A48">
      <w:pPr>
        <w:pStyle w:val="ListParagraph"/>
        <w:numPr>
          <w:ilvl w:val="0"/>
          <w:numId w:val="1"/>
        </w:numPr>
        <w:spacing w:before="200"/>
        <w:contextualSpacing w:val="0"/>
        <w:jc w:val="both"/>
      </w:pPr>
      <w:r>
        <w:rPr>
          <w:b/>
          <w:bCs/>
        </w:rPr>
        <w:t>‘</w:t>
      </w:r>
      <w:r w:rsidRPr="00C53B94">
        <w:t xml:space="preserve">No net loss’ is a technical term associated with the use of biodiversity offsetting. </w:t>
      </w:r>
    </w:p>
    <w:p w14:paraId="489D6064" w14:textId="234704E9" w:rsidR="006B38DF" w:rsidRDefault="006B38DF" w:rsidP="00980A48">
      <w:pPr>
        <w:pStyle w:val="ListParagraph"/>
        <w:numPr>
          <w:ilvl w:val="0"/>
          <w:numId w:val="1"/>
        </w:numPr>
        <w:spacing w:before="200"/>
        <w:contextualSpacing w:val="0"/>
        <w:jc w:val="both"/>
      </w:pPr>
      <w:r w:rsidRPr="00C53B94">
        <w:lastRenderedPageBreak/>
        <w:t>Biodiversity offsetting must achieve no net loss (of species abundance, habitat structure and ecosystem function) and the effects must be offset on a like-for-like basis.</w:t>
      </w:r>
      <w:r>
        <w:t xml:space="preserve"> ‘No net loss’ envisages the</w:t>
      </w:r>
      <w:r w:rsidRPr="00C53B94">
        <w:t xml:space="preserve"> loss o</w:t>
      </w:r>
      <w:r>
        <w:t>r</w:t>
      </w:r>
      <w:r w:rsidRPr="00C53B94">
        <w:t xml:space="preserve"> degradation of one area on the basis of gains in another</w:t>
      </w:r>
      <w:r>
        <w:t>.</w:t>
      </w:r>
      <w:r w:rsidR="00B22A02">
        <w:rPr>
          <w:rStyle w:val="FootnoteReference"/>
        </w:rPr>
        <w:footnoteReference w:id="45"/>
      </w:r>
      <w:r w:rsidRPr="006B38DF">
        <w:t xml:space="preserve"> </w:t>
      </w:r>
      <w:r w:rsidRPr="00C53B94">
        <w:t>This does not achieve “protection”</w:t>
      </w:r>
      <w:r>
        <w:t xml:space="preserve"> </w:t>
      </w:r>
      <w:r w:rsidR="00980A48" w:rsidRPr="00C53B94">
        <w:t>which requires the resource affected to be “</w:t>
      </w:r>
      <w:r w:rsidR="00980A48" w:rsidRPr="00C53B94">
        <w:rPr>
          <w:i/>
          <w:iCs/>
        </w:rPr>
        <w:t>kept safe from harm, injury, or damage</w:t>
      </w:r>
      <w:r w:rsidR="00980A48" w:rsidRPr="00C53B94">
        <w:t>”</w:t>
      </w:r>
      <w:r w:rsidR="00980A48">
        <w:t>.</w:t>
      </w:r>
      <w:r w:rsidR="00980A48">
        <w:rPr>
          <w:rStyle w:val="FootnoteReference"/>
        </w:rPr>
        <w:footnoteReference w:id="46"/>
      </w:r>
      <w:r w:rsidR="00B22A02">
        <w:t xml:space="preserve"> </w:t>
      </w:r>
    </w:p>
    <w:p w14:paraId="259A407A" w14:textId="0449AC0F" w:rsidR="00B22A02" w:rsidRPr="00C53B94" w:rsidRDefault="00980A48" w:rsidP="00B22A02">
      <w:pPr>
        <w:pStyle w:val="ListParagraph"/>
        <w:numPr>
          <w:ilvl w:val="0"/>
          <w:numId w:val="1"/>
        </w:numPr>
        <w:spacing w:before="200"/>
        <w:contextualSpacing w:val="0"/>
        <w:jc w:val="both"/>
      </w:pPr>
      <w:r w:rsidRPr="00C53B94">
        <w:t xml:space="preserve">The goal of no net loss </w:t>
      </w:r>
      <w:r w:rsidR="00B22A02">
        <w:t>is consistent with Council’</w:t>
      </w:r>
      <w:r w:rsidRPr="00C53B94">
        <w:t>s</w:t>
      </w:r>
      <w:r w:rsidR="00B22A02">
        <w:t xml:space="preserve"> obligation</w:t>
      </w:r>
      <w:r w:rsidRPr="00C53B94">
        <w:t xml:space="preserve"> to </w:t>
      </w:r>
      <w:r w:rsidR="00FF5700">
        <w:t>maintain</w:t>
      </w:r>
      <w:r w:rsidRPr="00C53B94">
        <w:t xml:space="preserve"> indigenous biodiversity across the District</w:t>
      </w:r>
      <w:r w:rsidR="00B22A02">
        <w:t>. Protection of significant sites is a key tool to achieving no net loss of indigenous biodiversity more broadly. This is consistent with the direction in Policy 9</w:t>
      </w:r>
      <w:r w:rsidR="00B22A02" w:rsidRPr="00C53B94">
        <w:t xml:space="preserve">.3.1(3) </w:t>
      </w:r>
      <w:r w:rsidR="00B22A02">
        <w:t xml:space="preserve">of the Canterbury </w:t>
      </w:r>
      <w:r w:rsidR="00B22A02" w:rsidRPr="00C53B94">
        <w:t>RPS</w:t>
      </w:r>
      <w:r w:rsidR="00FA2657">
        <w:t xml:space="preserve"> that</w:t>
      </w:r>
      <w:r w:rsidR="00B22A02" w:rsidRPr="00C53B94">
        <w:t xml:space="preserve"> </w:t>
      </w:r>
      <w:r w:rsidR="00B22A02">
        <w:t>“</w:t>
      </w:r>
      <w:r w:rsidR="00B22A02" w:rsidRPr="00B22A02">
        <w:rPr>
          <w:i/>
          <w:iCs/>
        </w:rPr>
        <w:t>areas identified as</w:t>
      </w:r>
      <w:r w:rsidR="00B22A02">
        <w:t xml:space="preserve"> </w:t>
      </w:r>
      <w:r w:rsidR="00B22A02" w:rsidRPr="00B22A02">
        <w:rPr>
          <w:i/>
          <w:iCs/>
        </w:rPr>
        <w:t>significant</w:t>
      </w:r>
      <w:r w:rsidR="00FA2657">
        <w:rPr>
          <w:i/>
          <w:iCs/>
        </w:rPr>
        <w:t xml:space="preserve"> </w:t>
      </w:r>
      <w:r w:rsidR="00FA2657" w:rsidRPr="00E21E0F">
        <w:rPr>
          <w:i/>
          <w:iCs/>
        </w:rPr>
        <w:t>will be</w:t>
      </w:r>
      <w:r w:rsidR="00B22A02" w:rsidRPr="00E21E0F">
        <w:rPr>
          <w:i/>
          <w:iCs/>
        </w:rPr>
        <w:t xml:space="preserve"> protected</w:t>
      </w:r>
      <w:r w:rsidR="00B22A02" w:rsidRPr="00E21E0F">
        <w:t xml:space="preserve"> </w:t>
      </w:r>
      <w:r w:rsidR="00B22A02" w:rsidRPr="00E21E0F">
        <w:rPr>
          <w:i/>
          <w:iCs/>
        </w:rPr>
        <w:t>to</w:t>
      </w:r>
      <w:r w:rsidR="00B22A02" w:rsidRPr="00FA2657">
        <w:rPr>
          <w:i/>
          <w:iCs/>
        </w:rPr>
        <w:t xml:space="preserve"> ensure no net loss of indigenous biodiversity</w:t>
      </w:r>
      <w:r w:rsidR="00B22A02" w:rsidRPr="00C53B94">
        <w:t>”</w:t>
      </w:r>
      <w:r w:rsidR="00E21E0F">
        <w:t>.</w:t>
      </w:r>
      <w:r w:rsidR="00FA2657">
        <w:t xml:space="preserve"> </w:t>
      </w:r>
    </w:p>
    <w:p w14:paraId="0670E828" w14:textId="195A6B68" w:rsidR="00980A48" w:rsidRDefault="00FA2657" w:rsidP="00FA2657">
      <w:pPr>
        <w:pStyle w:val="ListParagraph"/>
        <w:numPr>
          <w:ilvl w:val="0"/>
          <w:numId w:val="1"/>
        </w:numPr>
        <w:spacing w:before="200"/>
        <w:contextualSpacing w:val="0"/>
        <w:jc w:val="both"/>
      </w:pPr>
      <w:r>
        <w:t xml:space="preserve">No </w:t>
      </w:r>
      <w:r w:rsidR="00B22A02">
        <w:t xml:space="preserve">net loss will not achieve protection of significant sites. </w:t>
      </w:r>
      <w:r w:rsidR="00980A48" w:rsidRPr="00C53B94">
        <w:t>Significant sites are not areas where the ‘</w:t>
      </w:r>
      <w:proofErr w:type="spellStart"/>
      <w:r w:rsidR="00980A48" w:rsidRPr="00C53B94">
        <w:t>unders</w:t>
      </w:r>
      <w:proofErr w:type="spellEnd"/>
      <w:r w:rsidR="00980A48" w:rsidRPr="00C53B94">
        <w:t xml:space="preserve"> and overs’ approach that can be connected with the no net loss concept applies. </w:t>
      </w:r>
      <w:r w:rsidR="00B22A02">
        <w:t>For the significant indigenous ecosystems in the Mackenzie Basin</w:t>
      </w:r>
      <w:r w:rsidR="00FF5700">
        <w:t>,</w:t>
      </w:r>
      <w:r w:rsidR="00B22A02">
        <w:t xml:space="preserve"> there are no realistic remediation, mitigation or offsetting options and instead</w:t>
      </w:r>
      <w:r w:rsidR="00980A48">
        <w:t xml:space="preserve"> a strict avoidance approach is required</w:t>
      </w:r>
      <w:r w:rsidR="00B22A02">
        <w:t xml:space="preserve"> to protect th</w:t>
      </w:r>
      <w:r w:rsidR="004B307D">
        <w:t>o</w:t>
      </w:r>
      <w:r w:rsidR="00B22A02">
        <w:t>se values.</w:t>
      </w:r>
      <w:r w:rsidR="00B22A02">
        <w:rPr>
          <w:rStyle w:val="FootnoteReference"/>
        </w:rPr>
        <w:footnoteReference w:id="47"/>
      </w:r>
      <w:r w:rsidR="00980A48">
        <w:t xml:space="preserve"> </w:t>
      </w:r>
    </w:p>
    <w:p w14:paraId="22D86BE0" w14:textId="77777777" w:rsidR="00FA2657" w:rsidRPr="00FA2657" w:rsidRDefault="00980A48" w:rsidP="00980A48">
      <w:pPr>
        <w:pStyle w:val="ListParagraph"/>
        <w:numPr>
          <w:ilvl w:val="0"/>
          <w:numId w:val="1"/>
        </w:numPr>
        <w:spacing w:before="200"/>
        <w:contextualSpacing w:val="0"/>
        <w:jc w:val="both"/>
      </w:pPr>
      <w:r>
        <w:t>It is</w:t>
      </w:r>
      <w:r w:rsidRPr="00C53B94">
        <w:t xml:space="preserve"> </w:t>
      </w:r>
      <w:r w:rsidR="00B22A02">
        <w:t xml:space="preserve">also </w:t>
      </w:r>
      <w:r w:rsidRPr="00C53B94">
        <w:t xml:space="preserve">now well understood that biodiversity offsets are in some cases inappropriate and that some </w:t>
      </w:r>
      <w:r w:rsidRPr="000940FD">
        <w:t xml:space="preserve">elements of biodiversity are so irreplaceable or vulnerable that the risk of their not being successfully offset </w:t>
      </w:r>
      <w:r>
        <w:t>is</w:t>
      </w:r>
      <w:r w:rsidRPr="000940FD">
        <w:t xml:space="preserve"> too high</w:t>
      </w:r>
      <w:r>
        <w:t>.</w:t>
      </w:r>
      <w:r w:rsidRPr="00980A48">
        <w:rPr>
          <w:vertAlign w:val="superscript"/>
        </w:rPr>
        <w:footnoteReference w:id="48"/>
      </w:r>
      <w:r w:rsidRPr="00C53B94">
        <w:t>Due to their rarity, threat, habitat complexity and distinctiveness, the depositional ecosystems of the Mackenzie Basin fall within these categories.</w:t>
      </w:r>
      <w:r w:rsidRPr="00980A48">
        <w:rPr>
          <w:vertAlign w:val="superscript"/>
        </w:rPr>
        <w:footnoteReference w:id="49"/>
      </w:r>
      <w:r w:rsidRPr="00980A48">
        <w:rPr>
          <w:vertAlign w:val="superscript"/>
        </w:rPr>
        <w:t xml:space="preserve"> </w:t>
      </w:r>
      <w:r>
        <w:rPr>
          <w:vertAlign w:val="superscript"/>
        </w:rPr>
        <w:t xml:space="preserve"> </w:t>
      </w:r>
    </w:p>
    <w:p w14:paraId="47C36342" w14:textId="0A62AED9" w:rsidR="00980A48" w:rsidRPr="00980A48" w:rsidRDefault="00980A48" w:rsidP="00980A48">
      <w:pPr>
        <w:pStyle w:val="ListParagraph"/>
        <w:numPr>
          <w:ilvl w:val="0"/>
          <w:numId w:val="1"/>
        </w:numPr>
        <w:spacing w:before="200"/>
        <w:contextualSpacing w:val="0"/>
        <w:jc w:val="both"/>
      </w:pPr>
      <w:r w:rsidRPr="00C53B94">
        <w:t xml:space="preserve">The remaining </w:t>
      </w:r>
      <w:r>
        <w:t xml:space="preserve">significant </w:t>
      </w:r>
      <w:r w:rsidRPr="00C53B94">
        <w:t xml:space="preserve">indigenous ecosystems and plant communities </w:t>
      </w:r>
      <w:r>
        <w:t xml:space="preserve">in the Mackenzie Basin </w:t>
      </w:r>
      <w:r w:rsidRPr="00C53B94">
        <w:t>are irreplaceable</w:t>
      </w:r>
      <w:r>
        <w:t xml:space="preserve">: they cannot be recreated. Any </w:t>
      </w:r>
      <w:r w:rsidRPr="00C53B94">
        <w:t>reduction in the extent of these ecosystems will cause permanent loss that cannot be</w:t>
      </w:r>
      <w:r w:rsidRPr="00980A48">
        <w:rPr>
          <w:rFonts w:ascii="Calibri" w:hAnsi="Calibri" w:cs="Calibri"/>
        </w:rPr>
        <w:t xml:space="preserve"> offset. This </w:t>
      </w:r>
      <w:r w:rsidR="00FA2657">
        <w:rPr>
          <w:rFonts w:ascii="Calibri" w:hAnsi="Calibri" w:cs="Calibri"/>
        </w:rPr>
        <w:t>will</w:t>
      </w:r>
      <w:r w:rsidRPr="00980A48">
        <w:rPr>
          <w:rFonts w:ascii="Calibri" w:hAnsi="Calibri" w:cs="Calibri"/>
        </w:rPr>
        <w:t xml:space="preserve"> not achieve protection</w:t>
      </w:r>
      <w:r w:rsidR="00FA2657">
        <w:rPr>
          <w:rFonts w:ascii="Calibri" w:hAnsi="Calibri" w:cs="Calibri"/>
        </w:rPr>
        <w:t xml:space="preserve"> and will not fulfil Council’s obligations under s6(c) RMA. </w:t>
      </w:r>
    </w:p>
    <w:p w14:paraId="4E535092" w14:textId="4E833B30" w:rsidR="004D5A52" w:rsidRDefault="004D5A52" w:rsidP="00DF5431">
      <w:pPr>
        <w:autoSpaceDE w:val="0"/>
        <w:autoSpaceDN w:val="0"/>
        <w:adjustRightInd w:val="0"/>
        <w:spacing w:after="0" w:line="240" w:lineRule="auto"/>
        <w:rPr>
          <w:rFonts w:ascii="Calibri" w:hAnsi="Calibri" w:cs="Calibri"/>
          <w:b/>
          <w:bCs/>
        </w:rPr>
      </w:pPr>
      <w:r>
        <w:rPr>
          <w:rFonts w:ascii="Calibri" w:hAnsi="Calibri" w:cs="Calibri"/>
          <w:b/>
          <w:bCs/>
        </w:rPr>
        <w:t xml:space="preserve">VEGETATION </w:t>
      </w:r>
      <w:r w:rsidR="00DF5431" w:rsidRPr="004D5A52">
        <w:rPr>
          <w:rFonts w:ascii="Calibri" w:hAnsi="Calibri" w:cs="Calibri"/>
          <w:b/>
          <w:bCs/>
        </w:rPr>
        <w:t>CLEARANCE RULES</w:t>
      </w:r>
    </w:p>
    <w:p w14:paraId="1B827DE0" w14:textId="77777777" w:rsidR="004D5A52" w:rsidRDefault="004D5A52" w:rsidP="00DF5431">
      <w:pPr>
        <w:autoSpaceDE w:val="0"/>
        <w:autoSpaceDN w:val="0"/>
        <w:adjustRightInd w:val="0"/>
        <w:spacing w:after="0" w:line="240" w:lineRule="auto"/>
        <w:rPr>
          <w:rFonts w:ascii="Calibri" w:hAnsi="Calibri" w:cs="Calibri"/>
          <w:b/>
          <w:bCs/>
        </w:rPr>
      </w:pPr>
    </w:p>
    <w:p w14:paraId="20D403E7" w14:textId="00A687B8" w:rsidR="00FA2657" w:rsidRPr="00FA2657" w:rsidRDefault="004D5A52" w:rsidP="00FA2657">
      <w:pPr>
        <w:autoSpaceDE w:val="0"/>
        <w:autoSpaceDN w:val="0"/>
        <w:adjustRightInd w:val="0"/>
        <w:spacing w:after="0" w:line="240" w:lineRule="auto"/>
        <w:rPr>
          <w:rFonts w:ascii="Calibri" w:hAnsi="Calibri" w:cs="Calibri"/>
          <w:i/>
          <w:iCs/>
          <w:highlight w:val="yellow"/>
        </w:rPr>
      </w:pPr>
      <w:r w:rsidRPr="00FA2657">
        <w:rPr>
          <w:rFonts w:ascii="Calibri" w:hAnsi="Calibri" w:cs="Calibri"/>
          <w:i/>
          <w:iCs/>
        </w:rPr>
        <w:t>Permitted activit</w:t>
      </w:r>
      <w:r w:rsidR="00FA2657" w:rsidRPr="00FA2657">
        <w:rPr>
          <w:rFonts w:ascii="Calibri" w:hAnsi="Calibri" w:cs="Calibri"/>
          <w:i/>
          <w:iCs/>
        </w:rPr>
        <w:t>y rules</w:t>
      </w:r>
    </w:p>
    <w:p w14:paraId="537344C7" w14:textId="5884B215" w:rsidR="00FA2657" w:rsidRDefault="00DF5431" w:rsidP="00FA2657">
      <w:pPr>
        <w:pStyle w:val="ListParagraph"/>
        <w:numPr>
          <w:ilvl w:val="0"/>
          <w:numId w:val="1"/>
        </w:numPr>
        <w:spacing w:before="200"/>
        <w:contextualSpacing w:val="0"/>
        <w:jc w:val="both"/>
      </w:pPr>
      <w:r w:rsidRPr="00FA2657">
        <w:t>EDS supports provision for some permitted clearance</w:t>
      </w:r>
      <w:r w:rsidR="00FA2657">
        <w:t xml:space="preserve">. However, as currently worded </w:t>
      </w:r>
      <w:r w:rsidR="004B307D">
        <w:t xml:space="preserve">EDS considers </w:t>
      </w:r>
      <w:r w:rsidR="00FA2657">
        <w:t xml:space="preserve">the rules </w:t>
      </w:r>
      <w:r w:rsidR="004B307D">
        <w:t>will enable the</w:t>
      </w:r>
      <w:r w:rsidR="00FA2657">
        <w:t xml:space="preserve"> wide-scale clearance of </w:t>
      </w:r>
      <w:r w:rsidR="004B307D">
        <w:t xml:space="preserve">significant </w:t>
      </w:r>
      <w:r w:rsidR="00FA2657">
        <w:t xml:space="preserve">indigenous vegetation. </w:t>
      </w:r>
    </w:p>
    <w:p w14:paraId="31D00AC7" w14:textId="732A612C" w:rsidR="00FA2657" w:rsidRDefault="004B307D" w:rsidP="00FA2657">
      <w:pPr>
        <w:pStyle w:val="ListParagraph"/>
        <w:numPr>
          <w:ilvl w:val="0"/>
          <w:numId w:val="1"/>
        </w:numPr>
        <w:spacing w:before="200"/>
        <w:contextualSpacing w:val="0"/>
        <w:jc w:val="both"/>
      </w:pPr>
      <w:r>
        <w:t>A number of the permitted activities contain an exclusion for locations identified in Rule 1.3.2. However, t</w:t>
      </w:r>
      <w:r w:rsidR="00FA2657">
        <w:t xml:space="preserve">he specific exclusion in Rule 1.3.2(1) is limited to indigenous vegetation within a SON. As discussed above, the identified SONs are inadequate, and all un-converted land on depositional landforms is likely to meet criteria for significance.  To ensure protection of these other significant areas </w:t>
      </w:r>
      <w:r w:rsidR="00AF52F0">
        <w:t xml:space="preserve">it is required that all other areas meeting the criteria for significance in </w:t>
      </w:r>
      <w:r w:rsidR="00AF52F0">
        <w:lastRenderedPageBreak/>
        <w:t>the Canterbury RPS be included</w:t>
      </w:r>
      <w:r w:rsidR="00AA1450">
        <w:t xml:space="preserve"> in Rule 1.3.2(1)</w:t>
      </w:r>
      <w:r w:rsidR="00AF52F0">
        <w:t>. This could also be achieved by reference to Dr Walker’s categories of land.</w:t>
      </w:r>
      <w:r w:rsidR="00AF52F0">
        <w:rPr>
          <w:rStyle w:val="FootnoteReference"/>
        </w:rPr>
        <w:footnoteReference w:id="50"/>
      </w:r>
      <w:r w:rsidR="00AF52F0">
        <w:t xml:space="preserve"> </w:t>
      </w:r>
    </w:p>
    <w:p w14:paraId="7C703418" w14:textId="706C62E2" w:rsidR="005A735C" w:rsidRPr="00AA1450" w:rsidRDefault="007A6DD3" w:rsidP="00AA1450">
      <w:pPr>
        <w:pStyle w:val="ListParagraph"/>
        <w:numPr>
          <w:ilvl w:val="0"/>
          <w:numId w:val="1"/>
        </w:numPr>
        <w:spacing w:before="200"/>
        <w:contextualSpacing w:val="0"/>
        <w:jc w:val="both"/>
      </w:pPr>
      <w:r>
        <w:t>Amendment to provide a maximum clearance cap in Rule 1.1.1.1 is also required. Permitted clearance can be extensive and as Rule 1.1.1.1 is not subject to the exclusions in Rule 1.3.2 parameters are required to control the extent of clearance</w:t>
      </w:r>
      <w:r w:rsidR="004B307D">
        <w:t xml:space="preserve"> for the maintenance and report of existing fence lines, vehicle tracks etc</w:t>
      </w:r>
      <w:r>
        <w:t xml:space="preserve"> in significant areas. A </w:t>
      </w:r>
      <w:r w:rsidR="00FF5700">
        <w:t>maximum</w:t>
      </w:r>
      <w:r>
        <w:t xml:space="preserve"> clearance of 100m</w:t>
      </w:r>
      <w:r w:rsidRPr="007A6DD3">
        <w:rPr>
          <w:vertAlign w:val="superscript"/>
        </w:rPr>
        <w:t>2</w:t>
      </w:r>
      <w:r>
        <w:t xml:space="preserve"> is advisable.</w:t>
      </w:r>
      <w:r w:rsidRPr="007A6DD3">
        <w:rPr>
          <w:rStyle w:val="FootnoteReference"/>
        </w:rPr>
        <w:t xml:space="preserve"> </w:t>
      </w:r>
      <w:r>
        <w:rPr>
          <w:rStyle w:val="FootnoteReference"/>
        </w:rPr>
        <w:footnoteReference w:id="51"/>
      </w:r>
    </w:p>
    <w:p w14:paraId="7AB8072F" w14:textId="00F890E3" w:rsidR="007A6DD3" w:rsidRPr="007A6DD3" w:rsidRDefault="004D5A52" w:rsidP="007A6DD3">
      <w:pPr>
        <w:autoSpaceDE w:val="0"/>
        <w:autoSpaceDN w:val="0"/>
        <w:adjustRightInd w:val="0"/>
        <w:spacing w:after="0" w:line="240" w:lineRule="auto"/>
        <w:rPr>
          <w:rFonts w:ascii="Calibri" w:hAnsi="Calibri" w:cs="Calibri"/>
          <w:i/>
          <w:iCs/>
        </w:rPr>
      </w:pPr>
      <w:r w:rsidRPr="007A6DD3">
        <w:rPr>
          <w:rFonts w:ascii="Calibri" w:hAnsi="Calibri" w:cs="Calibri"/>
          <w:i/>
          <w:iCs/>
        </w:rPr>
        <w:t xml:space="preserve">Restricted discretionary </w:t>
      </w:r>
      <w:r w:rsidR="007A6DD3">
        <w:rPr>
          <w:rFonts w:ascii="Calibri" w:hAnsi="Calibri" w:cs="Calibri"/>
          <w:i/>
          <w:iCs/>
        </w:rPr>
        <w:t xml:space="preserve">activity </w:t>
      </w:r>
      <w:r w:rsidRPr="007A6DD3">
        <w:rPr>
          <w:rFonts w:ascii="Calibri" w:hAnsi="Calibri" w:cs="Calibri"/>
          <w:i/>
          <w:iCs/>
        </w:rPr>
        <w:t xml:space="preserve">rules </w:t>
      </w:r>
    </w:p>
    <w:p w14:paraId="2B26BC1E" w14:textId="2D325DDB" w:rsidR="004D5A52" w:rsidRPr="007A6DD3" w:rsidRDefault="00AA1450" w:rsidP="007A6DD3">
      <w:pPr>
        <w:pStyle w:val="ListParagraph"/>
        <w:numPr>
          <w:ilvl w:val="0"/>
          <w:numId w:val="1"/>
        </w:numPr>
        <w:spacing w:before="200"/>
        <w:contextualSpacing w:val="0"/>
        <w:jc w:val="both"/>
      </w:pPr>
      <w:r>
        <w:t>EDS has serious concerns about the provisions for Farm Biodiversity Plans (FBPs) as an exception to the other vegetation clearance rules. These concerns are addressed in detail below. EDS recommends that Rule 1.2.1 be deleted in its entirety, and instead that reference to FBPs be included in the matters of discretion in Rule 1.2.2.</w:t>
      </w:r>
    </w:p>
    <w:p w14:paraId="618AF6B1" w14:textId="70D9A2D3" w:rsidR="004D5A52" w:rsidRPr="005A735C" w:rsidRDefault="005A735C" w:rsidP="005A735C">
      <w:pPr>
        <w:spacing w:before="240" w:after="240"/>
        <w:rPr>
          <w:rFonts w:cstheme="minorHAnsi"/>
          <w:i/>
          <w:iCs/>
        </w:rPr>
      </w:pPr>
      <w:r w:rsidRPr="005A735C">
        <w:rPr>
          <w:rFonts w:ascii="Calibri" w:hAnsi="Calibri" w:cs="Calibri"/>
          <w:i/>
          <w:iCs/>
        </w:rPr>
        <w:t>Non</w:t>
      </w:r>
      <w:r w:rsidR="00376A85">
        <w:rPr>
          <w:rFonts w:ascii="Calibri" w:hAnsi="Calibri" w:cs="Calibri"/>
          <w:i/>
          <w:iCs/>
        </w:rPr>
        <w:t>-</w:t>
      </w:r>
      <w:r w:rsidRPr="005A735C">
        <w:rPr>
          <w:rFonts w:ascii="Calibri" w:hAnsi="Calibri" w:cs="Calibri"/>
          <w:i/>
          <w:iCs/>
        </w:rPr>
        <w:t>complying</w:t>
      </w:r>
      <w:r w:rsidR="00AA1450">
        <w:rPr>
          <w:rFonts w:ascii="Calibri" w:hAnsi="Calibri" w:cs="Calibri"/>
          <w:i/>
          <w:iCs/>
        </w:rPr>
        <w:t xml:space="preserve"> activity</w:t>
      </w:r>
      <w:r w:rsidRPr="005A735C">
        <w:rPr>
          <w:rFonts w:ascii="Calibri" w:hAnsi="Calibri" w:cs="Calibri"/>
          <w:i/>
          <w:iCs/>
        </w:rPr>
        <w:t xml:space="preserve"> rules</w:t>
      </w:r>
    </w:p>
    <w:p w14:paraId="376A905A" w14:textId="114247B3" w:rsidR="00DF5431" w:rsidRPr="00133CB8" w:rsidRDefault="005A735C" w:rsidP="00133CB8">
      <w:pPr>
        <w:pStyle w:val="ListParagraph"/>
        <w:numPr>
          <w:ilvl w:val="0"/>
          <w:numId w:val="1"/>
        </w:numPr>
        <w:spacing w:before="200"/>
        <w:contextualSpacing w:val="0"/>
        <w:jc w:val="both"/>
      </w:pPr>
      <w:r w:rsidRPr="004B307D">
        <w:t>Rules 1.3.1 and 1.3.2 are supported</w:t>
      </w:r>
      <w:r w:rsidR="00AA1450" w:rsidRPr="004B307D">
        <w:t xml:space="preserve"> (provided the amendment proposed in [47] above is made). </w:t>
      </w:r>
      <w:r w:rsidRPr="004B307D">
        <w:t xml:space="preserve"> Stringent control and regulatory oversight are appropriate in respect of the listed environments.</w:t>
      </w:r>
    </w:p>
    <w:p w14:paraId="7D4C4419" w14:textId="7C001C9F" w:rsidR="001400B7" w:rsidRPr="00CD507D" w:rsidRDefault="001400B7" w:rsidP="00CD507D">
      <w:pPr>
        <w:autoSpaceDE w:val="0"/>
        <w:autoSpaceDN w:val="0"/>
        <w:adjustRightInd w:val="0"/>
        <w:spacing w:after="0" w:line="240" w:lineRule="auto"/>
        <w:rPr>
          <w:rFonts w:ascii="Calibri" w:hAnsi="Calibri" w:cs="Calibri"/>
          <w:b/>
          <w:bCs/>
        </w:rPr>
      </w:pPr>
      <w:r w:rsidRPr="00CD507D">
        <w:rPr>
          <w:rFonts w:ascii="Calibri" w:hAnsi="Calibri" w:cs="Calibri"/>
          <w:b/>
          <w:bCs/>
        </w:rPr>
        <w:t>FARM BIODIVER</w:t>
      </w:r>
      <w:r w:rsidR="00FF5700">
        <w:rPr>
          <w:rFonts w:ascii="Calibri" w:hAnsi="Calibri" w:cs="Calibri"/>
          <w:b/>
          <w:bCs/>
        </w:rPr>
        <w:t>SI</w:t>
      </w:r>
      <w:r w:rsidRPr="00CD507D">
        <w:rPr>
          <w:rFonts w:ascii="Calibri" w:hAnsi="Calibri" w:cs="Calibri"/>
          <w:b/>
          <w:bCs/>
        </w:rPr>
        <w:t>T</w:t>
      </w:r>
      <w:r w:rsidR="00CD507D" w:rsidRPr="00CD507D">
        <w:rPr>
          <w:rFonts w:ascii="Calibri" w:hAnsi="Calibri" w:cs="Calibri"/>
          <w:b/>
          <w:bCs/>
        </w:rPr>
        <w:t>Y</w:t>
      </w:r>
      <w:r w:rsidRPr="00CD507D">
        <w:rPr>
          <w:rFonts w:ascii="Calibri" w:hAnsi="Calibri" w:cs="Calibri"/>
          <w:b/>
          <w:bCs/>
        </w:rPr>
        <w:t xml:space="preserve"> PLANS</w:t>
      </w:r>
    </w:p>
    <w:p w14:paraId="644C5DCD" w14:textId="77777777" w:rsidR="001400B7" w:rsidRPr="001400B7" w:rsidRDefault="001400B7" w:rsidP="001400B7">
      <w:pPr>
        <w:pStyle w:val="ListParagraph"/>
        <w:rPr>
          <w:rFonts w:ascii="Calibri" w:hAnsi="Calibri" w:cs="Calibri"/>
        </w:rPr>
      </w:pPr>
    </w:p>
    <w:p w14:paraId="17E816DA" w14:textId="3405409A" w:rsidR="00AA1450" w:rsidRDefault="001A0BB2" w:rsidP="004B307D">
      <w:pPr>
        <w:pStyle w:val="ListParagraph"/>
        <w:numPr>
          <w:ilvl w:val="0"/>
          <w:numId w:val="1"/>
        </w:numPr>
        <w:spacing w:before="200"/>
        <w:contextualSpacing w:val="0"/>
        <w:jc w:val="both"/>
      </w:pPr>
      <w:r w:rsidRPr="00AA1450">
        <w:t xml:space="preserve">EDS supports the concept of </w:t>
      </w:r>
      <w:r w:rsidR="00AA1450">
        <w:t>FBPs</w:t>
      </w:r>
      <w:r w:rsidR="003321CE" w:rsidRPr="00AA1450">
        <w:t xml:space="preserve"> </w:t>
      </w:r>
      <w:r w:rsidR="00CD507D" w:rsidRPr="00AA1450">
        <w:t>and agree</w:t>
      </w:r>
      <w:r w:rsidR="00AA1450">
        <w:t>s</w:t>
      </w:r>
      <w:r w:rsidR="00CD507D" w:rsidRPr="00AA1450">
        <w:t xml:space="preserve"> that a holistic</w:t>
      </w:r>
      <w:r w:rsidR="00F75B4C" w:rsidRPr="00AA1450">
        <w:t>, long term planning</w:t>
      </w:r>
      <w:r w:rsidR="00CD507D" w:rsidRPr="00AA1450">
        <w:t xml:space="preserve"> approach to farm management is a positive step. However, it</w:t>
      </w:r>
      <w:r w:rsidR="00AA1450">
        <w:t xml:space="preserve"> does not support the inclusion of Rule 1.2.1 which provides an exception to the vegetation clearance rules on the basis that a FBP has been prepared. As currently worded, </w:t>
      </w:r>
      <w:r w:rsidR="004B307D">
        <w:t>Rule 1.2.1</w:t>
      </w:r>
      <w:r w:rsidR="00AA1450">
        <w:t xml:space="preserve"> will create </w:t>
      </w:r>
      <w:r w:rsidR="00AA1450" w:rsidRPr="00AA1450">
        <w:t>loophole to continue to clear, degrade and fragment indigenous vegetation and indigenous fauna habitats in the Mackenzie Basin</w:t>
      </w:r>
      <w:r w:rsidR="00AA1450">
        <w:t>.</w:t>
      </w:r>
      <w:r w:rsidR="00AA1450" w:rsidRPr="004B307D">
        <w:rPr>
          <w:vertAlign w:val="superscript"/>
        </w:rPr>
        <w:footnoteReference w:id="52"/>
      </w:r>
      <w:r w:rsidR="00AA1450" w:rsidRPr="004B307D">
        <w:rPr>
          <w:vertAlign w:val="superscript"/>
        </w:rPr>
        <w:t xml:space="preserve"> </w:t>
      </w:r>
    </w:p>
    <w:p w14:paraId="666C76E0" w14:textId="45633BCC" w:rsidR="003A67DB" w:rsidRDefault="003A67DB" w:rsidP="003A67DB">
      <w:pPr>
        <w:pStyle w:val="ListParagraph"/>
        <w:numPr>
          <w:ilvl w:val="0"/>
          <w:numId w:val="1"/>
        </w:numPr>
        <w:spacing w:before="200"/>
        <w:contextualSpacing w:val="0"/>
        <w:jc w:val="both"/>
      </w:pPr>
      <w:r>
        <w:t>E</w:t>
      </w:r>
      <w:r w:rsidRPr="00AA1450">
        <w:t xml:space="preserve">nabling development in accordance with FBPs is only acceptable </w:t>
      </w:r>
      <w:r>
        <w:t>if</w:t>
      </w:r>
      <w:r w:rsidRPr="00AA1450">
        <w:t xml:space="preserve"> those FBPs are robust and ensure</w:t>
      </w:r>
      <w:r>
        <w:t xml:space="preserve"> that</w:t>
      </w:r>
      <w:r w:rsidRPr="00AA1450">
        <w:t xml:space="preserve"> biodiversity values are appropriately addressed</w:t>
      </w:r>
      <w:r>
        <w:t>. There is considerable uncertainty over the efficacy of FBP and there is currently no requirement for the FBP to be peer-reviewed by an ecologist to assess the accuracy and quality of it.</w:t>
      </w:r>
      <w:r w:rsidRPr="003A67DB">
        <w:rPr>
          <w:rStyle w:val="FootnoteReference"/>
        </w:rPr>
        <w:t xml:space="preserve"> </w:t>
      </w:r>
      <w:r>
        <w:rPr>
          <w:rStyle w:val="FootnoteReference"/>
        </w:rPr>
        <w:footnoteReference w:id="53"/>
      </w:r>
      <w:r>
        <w:t xml:space="preserve">  Council planning staff are instead given wide latitude to consent to further clearance of significant indigenous vegetation.</w:t>
      </w:r>
    </w:p>
    <w:p w14:paraId="0AF9E73D" w14:textId="043343B9" w:rsidR="003A67DB" w:rsidRDefault="004B307D" w:rsidP="003A67DB">
      <w:pPr>
        <w:pStyle w:val="ListParagraph"/>
        <w:numPr>
          <w:ilvl w:val="0"/>
          <w:numId w:val="1"/>
        </w:numPr>
        <w:spacing w:before="200"/>
        <w:contextualSpacing w:val="0"/>
        <w:jc w:val="both"/>
      </w:pPr>
      <w:r>
        <w:t xml:space="preserve">As such, the current approach </w:t>
      </w:r>
      <w:r w:rsidR="003A67DB">
        <w:t xml:space="preserve">will not give effect to the </w:t>
      </w:r>
      <w:r>
        <w:t xml:space="preserve">Council’s </w:t>
      </w:r>
      <w:r w:rsidR="003A67DB">
        <w:t>obligation</w:t>
      </w:r>
      <w:r>
        <w:t>s</w:t>
      </w:r>
      <w:r w:rsidR="003A67DB">
        <w:t xml:space="preserve"> to maintain indigenous biodiversity and protect significant indigenous biodiversity. The only way to ensure these obligations are met is for FBP be required as part of the consenting process. </w:t>
      </w:r>
    </w:p>
    <w:p w14:paraId="2E91F931" w14:textId="4BBA5189" w:rsidR="003A67DB" w:rsidRDefault="003A67DB" w:rsidP="00AA1450">
      <w:pPr>
        <w:pStyle w:val="ListParagraph"/>
        <w:numPr>
          <w:ilvl w:val="0"/>
          <w:numId w:val="1"/>
        </w:numPr>
        <w:spacing w:before="200"/>
        <w:contextualSpacing w:val="0"/>
        <w:jc w:val="both"/>
      </w:pPr>
      <w:r>
        <w:t xml:space="preserve">EDS considers that instead of allowing vegetation clearance on the basis of a FBP alone, FBP should be added to the list of matters of discretion in Rule 1.2.2. This enables FBPs to be considered but ensures that they can only be used within the confines of what extent of </w:t>
      </w:r>
      <w:r>
        <w:lastRenderedPageBreak/>
        <w:t xml:space="preserve">indigenous vegetation clearance indicated as acceptable under the Plan (as provided for in Rule 1.2.2). </w:t>
      </w:r>
    </w:p>
    <w:p w14:paraId="25DF52C0" w14:textId="3A0DAE2E" w:rsidR="0003074D" w:rsidRPr="008B4E77" w:rsidRDefault="0003074D" w:rsidP="008B4E77">
      <w:pPr>
        <w:autoSpaceDE w:val="0"/>
        <w:autoSpaceDN w:val="0"/>
        <w:adjustRightInd w:val="0"/>
        <w:spacing w:after="0" w:line="240" w:lineRule="auto"/>
        <w:rPr>
          <w:rFonts w:ascii="Calibri" w:hAnsi="Calibri" w:cs="Calibri"/>
          <w:b/>
          <w:bCs/>
        </w:rPr>
      </w:pPr>
      <w:r w:rsidRPr="008B4E77">
        <w:rPr>
          <w:rFonts w:ascii="Calibri" w:hAnsi="Calibri" w:cs="Calibri"/>
          <w:b/>
          <w:bCs/>
        </w:rPr>
        <w:t>WAITAKI POWER SCHEME PROVISIONS</w:t>
      </w:r>
    </w:p>
    <w:p w14:paraId="60FD4826" w14:textId="77777777" w:rsidR="0003074D" w:rsidRPr="0003074D" w:rsidRDefault="0003074D" w:rsidP="0003074D">
      <w:pPr>
        <w:pStyle w:val="ListParagraph"/>
        <w:rPr>
          <w:rFonts w:ascii="Calibri" w:hAnsi="Calibri" w:cs="Calibri"/>
        </w:rPr>
      </w:pPr>
    </w:p>
    <w:p w14:paraId="243DC51B" w14:textId="617814B2" w:rsidR="004B5B35" w:rsidRDefault="0003074D" w:rsidP="004B5B35">
      <w:pPr>
        <w:pStyle w:val="ListParagraph"/>
        <w:numPr>
          <w:ilvl w:val="0"/>
          <w:numId w:val="1"/>
        </w:numPr>
        <w:spacing w:before="200"/>
        <w:contextualSpacing w:val="0"/>
        <w:jc w:val="both"/>
        <w:rPr>
          <w:rFonts w:ascii="Calibri" w:hAnsi="Calibri" w:cs="Calibri"/>
        </w:rPr>
      </w:pPr>
      <w:r>
        <w:rPr>
          <w:rFonts w:ascii="Calibri" w:hAnsi="Calibri" w:cs="Calibri"/>
        </w:rPr>
        <w:t xml:space="preserve">EDS accepts the need for a bespoke approach to vegetation clearance for the Waitaki Power Scheme. However, it considers </w:t>
      </w:r>
      <w:r w:rsidR="004B5B35">
        <w:rPr>
          <w:rFonts w:ascii="Calibri" w:hAnsi="Calibri" w:cs="Calibri"/>
        </w:rPr>
        <w:t>the proposed rule framework, as</w:t>
      </w:r>
      <w:r>
        <w:rPr>
          <w:rFonts w:ascii="Calibri" w:hAnsi="Calibri" w:cs="Calibri"/>
        </w:rPr>
        <w:t xml:space="preserve"> </w:t>
      </w:r>
      <w:r w:rsidR="00AF1C21">
        <w:rPr>
          <w:rFonts w:ascii="Calibri" w:hAnsi="Calibri" w:cs="Calibri"/>
        </w:rPr>
        <w:t>set out in the s42A report</w:t>
      </w:r>
      <w:r w:rsidR="004B5B35">
        <w:rPr>
          <w:rFonts w:ascii="Calibri" w:hAnsi="Calibri" w:cs="Calibri"/>
        </w:rPr>
        <w:t>,</w:t>
      </w:r>
      <w:r w:rsidR="00AF1C21">
        <w:rPr>
          <w:rFonts w:ascii="Calibri" w:hAnsi="Calibri" w:cs="Calibri"/>
        </w:rPr>
        <w:t xml:space="preserve"> is too lenient and</w:t>
      </w:r>
      <w:r w:rsidR="004B5B35">
        <w:rPr>
          <w:rFonts w:ascii="Calibri" w:hAnsi="Calibri" w:cs="Calibri"/>
        </w:rPr>
        <w:t xml:space="preserve"> will</w:t>
      </w:r>
      <w:r w:rsidR="00AF1C21">
        <w:rPr>
          <w:rFonts w:ascii="Calibri" w:hAnsi="Calibri" w:cs="Calibri"/>
        </w:rPr>
        <w:t xml:space="preserve"> provide for extensive clearance of significant areas. </w:t>
      </w:r>
    </w:p>
    <w:p w14:paraId="7B99C242" w14:textId="0B8E0444" w:rsidR="004B5B35" w:rsidRDefault="004B5B35" w:rsidP="004B5B35">
      <w:pPr>
        <w:pStyle w:val="ListParagraph"/>
        <w:numPr>
          <w:ilvl w:val="0"/>
          <w:numId w:val="1"/>
        </w:numPr>
        <w:spacing w:before="200"/>
        <w:contextualSpacing w:val="0"/>
        <w:jc w:val="both"/>
        <w:rPr>
          <w:rFonts w:ascii="Calibri" w:hAnsi="Calibri" w:cs="Calibri"/>
        </w:rPr>
      </w:pPr>
      <w:r>
        <w:rPr>
          <w:rFonts w:ascii="Calibri" w:hAnsi="Calibri" w:cs="Calibri"/>
        </w:rPr>
        <w:t>Rule 2.1.1 provides for clearance of indigenous vegetation associated with the operation and maintenance of the Waitaki Power Scheme as a permitted activity within the existing footprint, on core sites</w:t>
      </w:r>
      <w:r w:rsidR="004B307D">
        <w:rPr>
          <w:rFonts w:ascii="Calibri" w:hAnsi="Calibri" w:cs="Calibri"/>
        </w:rPr>
        <w:t>,</w:t>
      </w:r>
      <w:r>
        <w:rPr>
          <w:rFonts w:ascii="Calibri" w:hAnsi="Calibri" w:cs="Calibri"/>
        </w:rPr>
        <w:t xml:space="preserve"> and on areas covered by an operating easement associated with the Waitaki Power Scheme. </w:t>
      </w:r>
      <w:r w:rsidR="00FC09FF">
        <w:rPr>
          <w:rFonts w:ascii="Calibri" w:hAnsi="Calibri" w:cs="Calibri"/>
        </w:rPr>
        <w:t>The WPS core sites are not spatially extensive but may be ecologically significant.</w:t>
      </w:r>
      <w:r w:rsidR="00FC09FF">
        <w:rPr>
          <w:rStyle w:val="FootnoteReference"/>
          <w:rFonts w:ascii="Calibri" w:hAnsi="Calibri" w:cs="Calibri"/>
        </w:rPr>
        <w:footnoteReference w:id="54"/>
      </w:r>
      <w:r w:rsidR="00FC09FF">
        <w:rPr>
          <w:rFonts w:ascii="Calibri" w:hAnsi="Calibri" w:cs="Calibri"/>
        </w:rPr>
        <w:t xml:space="preserve"> However, clearance within these areas is unlikely to have major adverse effects on indigenous vegetation.</w:t>
      </w:r>
      <w:r w:rsidR="00FC09FF">
        <w:rPr>
          <w:rStyle w:val="FootnoteReference"/>
          <w:rFonts w:ascii="Calibri" w:hAnsi="Calibri" w:cs="Calibri"/>
        </w:rPr>
        <w:footnoteReference w:id="55"/>
      </w:r>
      <w:r w:rsidR="00FC09FF">
        <w:rPr>
          <w:rFonts w:ascii="Calibri" w:hAnsi="Calibri" w:cs="Calibri"/>
        </w:rPr>
        <w:t xml:space="preserve"> </w:t>
      </w:r>
    </w:p>
    <w:p w14:paraId="20D4DDF3" w14:textId="29B79103" w:rsidR="004B5B35" w:rsidRDefault="004B5B35" w:rsidP="004B5B35">
      <w:pPr>
        <w:pStyle w:val="ListParagraph"/>
        <w:numPr>
          <w:ilvl w:val="0"/>
          <w:numId w:val="1"/>
        </w:numPr>
        <w:spacing w:before="200"/>
        <w:contextualSpacing w:val="0"/>
        <w:jc w:val="both"/>
        <w:rPr>
          <w:rFonts w:ascii="Calibri" w:hAnsi="Calibri" w:cs="Calibri"/>
        </w:rPr>
      </w:pPr>
      <w:r>
        <w:rPr>
          <w:rFonts w:ascii="Calibri" w:hAnsi="Calibri" w:cs="Calibri"/>
        </w:rPr>
        <w:t xml:space="preserve">Operating easements associated with the </w:t>
      </w:r>
      <w:r w:rsidR="00FC09FF">
        <w:rPr>
          <w:rFonts w:ascii="Calibri" w:hAnsi="Calibri" w:cs="Calibri"/>
        </w:rPr>
        <w:t>Waitaki Power Scheme on the other hand cover a considerable portion of land identified as SON</w:t>
      </w:r>
      <w:r w:rsidR="00FF5700">
        <w:rPr>
          <w:rFonts w:ascii="Calibri" w:hAnsi="Calibri" w:cs="Calibri"/>
        </w:rPr>
        <w:t>S</w:t>
      </w:r>
      <w:r w:rsidR="00FC09FF">
        <w:rPr>
          <w:rFonts w:ascii="Calibri" w:hAnsi="Calibri" w:cs="Calibri"/>
        </w:rPr>
        <w:t>.</w:t>
      </w:r>
      <w:r w:rsidR="00FC09FF">
        <w:rPr>
          <w:rStyle w:val="FootnoteReference"/>
          <w:rFonts w:ascii="Calibri" w:hAnsi="Calibri" w:cs="Calibri"/>
        </w:rPr>
        <w:footnoteReference w:id="56"/>
      </w:r>
      <w:r w:rsidR="00FC09FF">
        <w:rPr>
          <w:rFonts w:ascii="Calibri" w:hAnsi="Calibri" w:cs="Calibri"/>
        </w:rPr>
        <w:t xml:space="preserve"> Most areas covered by the operating easements will also be ecologically significant</w:t>
      </w:r>
      <w:r w:rsidR="004B307D">
        <w:rPr>
          <w:rFonts w:ascii="Calibri" w:hAnsi="Calibri" w:cs="Calibri"/>
        </w:rPr>
        <w:t>, even if not already identified as a SON</w:t>
      </w:r>
      <w:r w:rsidR="00FF5700">
        <w:rPr>
          <w:rFonts w:ascii="Calibri" w:hAnsi="Calibri" w:cs="Calibri"/>
        </w:rPr>
        <w:t>S</w:t>
      </w:r>
      <w:r w:rsidR="00FC09FF">
        <w:rPr>
          <w:rFonts w:ascii="Calibri" w:hAnsi="Calibri" w:cs="Calibri"/>
        </w:rPr>
        <w:t>.</w:t>
      </w:r>
      <w:r w:rsidR="00FC09FF">
        <w:rPr>
          <w:rStyle w:val="FootnoteReference"/>
          <w:rFonts w:ascii="Calibri" w:hAnsi="Calibri" w:cs="Calibri"/>
        </w:rPr>
        <w:footnoteReference w:id="57"/>
      </w:r>
      <w:r w:rsidR="00FC09FF">
        <w:rPr>
          <w:rFonts w:ascii="Calibri" w:hAnsi="Calibri" w:cs="Calibri"/>
        </w:rPr>
        <w:t xml:space="preserve"> Clearance of vegetation within the operating easements is very likely to result in adverse effects on significant indigenous vegetation.</w:t>
      </w:r>
      <w:r w:rsidR="00FC09FF">
        <w:rPr>
          <w:rStyle w:val="FootnoteReference"/>
          <w:rFonts w:ascii="Calibri" w:hAnsi="Calibri" w:cs="Calibri"/>
        </w:rPr>
        <w:footnoteReference w:id="58"/>
      </w:r>
    </w:p>
    <w:p w14:paraId="296D43C3" w14:textId="64232E94" w:rsidR="004B307D" w:rsidRPr="00133CB8" w:rsidRDefault="00FC09FF" w:rsidP="00133CB8">
      <w:pPr>
        <w:pStyle w:val="ListParagraph"/>
        <w:numPr>
          <w:ilvl w:val="0"/>
          <w:numId w:val="1"/>
        </w:numPr>
        <w:spacing w:before="200"/>
        <w:contextualSpacing w:val="0"/>
        <w:jc w:val="both"/>
        <w:rPr>
          <w:rFonts w:ascii="Calibri" w:hAnsi="Calibri" w:cs="Calibri"/>
        </w:rPr>
      </w:pPr>
      <w:r>
        <w:rPr>
          <w:rFonts w:ascii="Calibri" w:hAnsi="Calibri" w:cs="Calibri"/>
        </w:rPr>
        <w:t xml:space="preserve">EDS submits that on the basis of the significant values contained in the operating easements, a discretionary activity for indigenous vegetation clearance for both the operation and maintenance and the refurbishment of these areas is required. This will enable decision-makers </w:t>
      </w:r>
      <w:r w:rsidR="00432828">
        <w:rPr>
          <w:rFonts w:ascii="Calibri" w:hAnsi="Calibri" w:cs="Calibri"/>
        </w:rPr>
        <w:t>discretion to consider</w:t>
      </w:r>
      <w:r w:rsidR="004B307D">
        <w:rPr>
          <w:rFonts w:ascii="Calibri" w:hAnsi="Calibri" w:cs="Calibri"/>
        </w:rPr>
        <w:t xml:space="preserve"> the effects</w:t>
      </w:r>
      <w:r w:rsidR="00432828">
        <w:rPr>
          <w:rFonts w:ascii="Calibri" w:hAnsi="Calibri" w:cs="Calibri"/>
        </w:rPr>
        <w:t xml:space="preserve"> </w:t>
      </w:r>
      <w:r w:rsidR="004B307D">
        <w:rPr>
          <w:rFonts w:ascii="Calibri" w:hAnsi="Calibri" w:cs="Calibri"/>
        </w:rPr>
        <w:t xml:space="preserve">of the proposal and make an informed decision on the activity. </w:t>
      </w:r>
    </w:p>
    <w:p w14:paraId="4C39268F" w14:textId="082348CB" w:rsidR="00432828" w:rsidRPr="00432828" w:rsidRDefault="00432828" w:rsidP="00432828">
      <w:pPr>
        <w:spacing w:before="200"/>
        <w:jc w:val="both"/>
        <w:rPr>
          <w:rFonts w:ascii="Calibri" w:hAnsi="Calibri" w:cs="Calibri"/>
          <w:b/>
          <w:bCs/>
        </w:rPr>
      </w:pPr>
      <w:r w:rsidRPr="00432828">
        <w:rPr>
          <w:rFonts w:ascii="Calibri" w:hAnsi="Calibri" w:cs="Calibri"/>
          <w:b/>
          <w:bCs/>
        </w:rPr>
        <w:t>CONCLUSION</w:t>
      </w:r>
    </w:p>
    <w:p w14:paraId="3BEAA7F0" w14:textId="46B6CA13" w:rsidR="00432828" w:rsidRDefault="00432828" w:rsidP="00432828">
      <w:pPr>
        <w:pStyle w:val="ListParagraph"/>
        <w:numPr>
          <w:ilvl w:val="0"/>
          <w:numId w:val="1"/>
        </w:numPr>
        <w:spacing w:before="200"/>
        <w:contextualSpacing w:val="0"/>
        <w:jc w:val="both"/>
        <w:rPr>
          <w:rFonts w:ascii="Calibri" w:hAnsi="Calibri" w:cs="Calibri"/>
        </w:rPr>
      </w:pPr>
      <w:r w:rsidRPr="00432828">
        <w:rPr>
          <w:rFonts w:ascii="Calibri" w:hAnsi="Calibri" w:cs="Calibri"/>
        </w:rPr>
        <w:t>The Mackenzie District includes a diverse range of landforms and ecosystems,</w:t>
      </w:r>
      <w:r>
        <w:rPr>
          <w:rFonts w:ascii="Calibri" w:hAnsi="Calibri" w:cs="Calibri"/>
        </w:rPr>
        <w:t xml:space="preserve"> </w:t>
      </w:r>
      <w:r w:rsidRPr="00432828">
        <w:rPr>
          <w:rFonts w:ascii="Calibri" w:hAnsi="Calibri" w:cs="Calibri"/>
        </w:rPr>
        <w:t>stretching from the main divide of the Southern Alps to lowland basins, hills and valleys</w:t>
      </w:r>
      <w:r>
        <w:rPr>
          <w:rFonts w:ascii="Calibri" w:hAnsi="Calibri" w:cs="Calibri"/>
        </w:rPr>
        <w:t xml:space="preserve">. </w:t>
      </w:r>
      <w:r w:rsidRPr="00432828">
        <w:rPr>
          <w:rFonts w:ascii="Calibri" w:hAnsi="Calibri" w:cs="Calibri"/>
        </w:rPr>
        <w:t>The Mackenzie Basin has been identified as having landscape and biodiversity values that are nationally significant under s6 RMA</w:t>
      </w:r>
      <w:r>
        <w:rPr>
          <w:rFonts w:ascii="Calibri" w:hAnsi="Calibri" w:cs="Calibri"/>
        </w:rPr>
        <w:t xml:space="preserve"> and the whole District </w:t>
      </w:r>
      <w:r w:rsidRPr="00432828">
        <w:rPr>
          <w:rFonts w:ascii="Calibri" w:hAnsi="Calibri" w:cs="Calibri"/>
        </w:rPr>
        <w:t>is home to important indigenous biodiversity values which are nationally and internationally unique.</w:t>
      </w:r>
    </w:p>
    <w:p w14:paraId="66479F57" w14:textId="511465B2" w:rsidR="00FC315C" w:rsidRPr="00FC315C" w:rsidRDefault="00432828" w:rsidP="00FC315C">
      <w:pPr>
        <w:pStyle w:val="ListParagraph"/>
        <w:numPr>
          <w:ilvl w:val="0"/>
          <w:numId w:val="1"/>
        </w:numPr>
        <w:spacing w:before="200"/>
        <w:contextualSpacing w:val="0"/>
        <w:jc w:val="both"/>
        <w:rPr>
          <w:rFonts w:ascii="Calibri" w:hAnsi="Calibri" w:cs="Calibri"/>
        </w:rPr>
      </w:pPr>
      <w:r w:rsidRPr="00FC315C">
        <w:rPr>
          <w:rFonts w:ascii="Calibri" w:hAnsi="Calibri" w:cs="Calibri"/>
        </w:rPr>
        <w:t>Council is under an obligation maintain its indigenous biodiversity and protect those parts of it that are significant. That obligation exists regardless of whether those objectives are easy or hard</w:t>
      </w:r>
      <w:r w:rsidR="00FF5700">
        <w:rPr>
          <w:rFonts w:ascii="Calibri" w:hAnsi="Calibri" w:cs="Calibri"/>
        </w:rPr>
        <w:t xml:space="preserve"> to achieve</w:t>
      </w:r>
      <w:r w:rsidRPr="00FC315C">
        <w:rPr>
          <w:rFonts w:ascii="Calibri" w:hAnsi="Calibri" w:cs="Calibri"/>
        </w:rPr>
        <w:t xml:space="preserve">. </w:t>
      </w:r>
      <w:r w:rsidR="00FC315C">
        <w:rPr>
          <w:rFonts w:ascii="Calibri" w:hAnsi="Calibri" w:cs="Calibri"/>
        </w:rPr>
        <w:t xml:space="preserve">The Mackenzie Basin has experienced a high degree of degradation, and to prevent any further loss the remaining extent and connectivity of unconverted indigenous vegetation </w:t>
      </w:r>
      <w:r w:rsidR="00FF5700">
        <w:rPr>
          <w:rFonts w:ascii="Calibri" w:hAnsi="Calibri" w:cs="Calibri"/>
        </w:rPr>
        <w:t xml:space="preserve">must </w:t>
      </w:r>
      <w:r w:rsidR="00FC315C">
        <w:rPr>
          <w:rFonts w:ascii="Calibri" w:hAnsi="Calibri" w:cs="Calibri"/>
        </w:rPr>
        <w:t xml:space="preserve">be </w:t>
      </w:r>
      <w:r w:rsidR="004B307D">
        <w:rPr>
          <w:rFonts w:ascii="Calibri" w:hAnsi="Calibri" w:cs="Calibri"/>
        </w:rPr>
        <w:t xml:space="preserve">protected from the effects of intensification. </w:t>
      </w:r>
      <w:r w:rsidR="00FC315C">
        <w:rPr>
          <w:rFonts w:ascii="Calibri" w:hAnsi="Calibri" w:cs="Calibri"/>
        </w:rPr>
        <w:t xml:space="preserve">  </w:t>
      </w:r>
    </w:p>
    <w:sectPr w:rsidR="00FC315C" w:rsidRPr="00FC315C" w:rsidSect="00F87E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83035" w14:textId="77777777" w:rsidR="00E01E95" w:rsidRDefault="00E01E95" w:rsidP="00EA09C1">
      <w:pPr>
        <w:spacing w:after="0" w:line="240" w:lineRule="auto"/>
      </w:pPr>
      <w:r>
        <w:separator/>
      </w:r>
    </w:p>
  </w:endnote>
  <w:endnote w:type="continuationSeparator" w:id="0">
    <w:p w14:paraId="2B45E7D2" w14:textId="77777777" w:rsidR="00E01E95" w:rsidRDefault="00E01E95" w:rsidP="00EA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685678"/>
      <w:docPartObj>
        <w:docPartGallery w:val="Page Numbers (Bottom of Page)"/>
        <w:docPartUnique/>
      </w:docPartObj>
    </w:sdtPr>
    <w:sdtEndPr>
      <w:rPr>
        <w:noProof/>
      </w:rPr>
    </w:sdtEndPr>
    <w:sdtContent>
      <w:p w14:paraId="7AA243F6" w14:textId="77777777" w:rsidR="004B5B35" w:rsidRDefault="004B5B3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E1639E4" w14:textId="77777777" w:rsidR="004B5B35" w:rsidRDefault="004B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8D6E" w14:textId="7EE4D388" w:rsidR="004B5B35" w:rsidRPr="00396457" w:rsidRDefault="004B5B35" w:rsidP="00396457">
    <w:pPr>
      <w:pStyle w:val="Footer"/>
      <w:rPr>
        <w:sz w:val="20"/>
        <w:szCs w:val="20"/>
        <w:lang w:val="en-US"/>
      </w:rPr>
    </w:pPr>
    <w:r w:rsidRPr="00396457">
      <w:rPr>
        <w:sz w:val="20"/>
        <w:szCs w:val="20"/>
        <w:lang w:val="en-US"/>
      </w:rPr>
      <w:t>.</w:t>
    </w:r>
    <w:r w:rsidRPr="00396457">
      <w:rPr>
        <w:sz w:val="20"/>
        <w:szCs w:val="20"/>
        <w:lang w:val="en-US"/>
      </w:rPr>
      <w:tab/>
    </w:r>
    <w:r w:rsidRPr="00396457">
      <w:rPr>
        <w:sz w:val="20"/>
        <w:szCs w:val="20"/>
        <w:lang w:val="en-US"/>
      </w:rPr>
      <w:tab/>
      <w:t xml:space="preserve">Environmental </w:t>
    </w:r>
    <w:proofErr w:type="spellStart"/>
    <w:r w:rsidRPr="00396457">
      <w:rPr>
        <w:sz w:val="20"/>
        <w:szCs w:val="20"/>
        <w:lang w:val="en-US"/>
      </w:rPr>
      <w:t>Defence</w:t>
    </w:r>
    <w:proofErr w:type="spellEnd"/>
    <w:r w:rsidRPr="00396457">
      <w:rPr>
        <w:sz w:val="20"/>
        <w:szCs w:val="20"/>
        <w:lang w:val="en-US"/>
      </w:rPr>
      <w:t xml:space="preserve"> Society Inc</w:t>
    </w:r>
  </w:p>
  <w:p w14:paraId="530D6A62" w14:textId="2B9403BD" w:rsidR="004B5B35" w:rsidRPr="00396457" w:rsidRDefault="004B5B35" w:rsidP="00396457">
    <w:pPr>
      <w:pStyle w:val="Footer"/>
      <w:rPr>
        <w:sz w:val="20"/>
        <w:szCs w:val="20"/>
        <w:lang w:val="en-US"/>
      </w:rPr>
    </w:pPr>
    <w:r w:rsidRPr="00396457">
      <w:rPr>
        <w:sz w:val="20"/>
        <w:szCs w:val="20"/>
        <w:lang w:val="en-US"/>
      </w:rPr>
      <w:tab/>
    </w:r>
    <w:r w:rsidRPr="00396457">
      <w:rPr>
        <w:sz w:val="20"/>
        <w:szCs w:val="20"/>
        <w:lang w:val="en-US"/>
      </w:rPr>
      <w:tab/>
      <w:t>PO Box 91736</w:t>
    </w:r>
  </w:p>
  <w:p w14:paraId="44B71F00" w14:textId="686042E6" w:rsidR="004B5B35" w:rsidRPr="00396457" w:rsidRDefault="004B5B35" w:rsidP="00396457">
    <w:pPr>
      <w:pStyle w:val="Footer"/>
      <w:rPr>
        <w:sz w:val="20"/>
        <w:szCs w:val="20"/>
        <w:lang w:val="en-US"/>
      </w:rPr>
    </w:pPr>
    <w:r w:rsidRPr="00396457">
      <w:rPr>
        <w:sz w:val="20"/>
        <w:szCs w:val="20"/>
        <w:lang w:val="en-US"/>
      </w:rPr>
      <w:tab/>
    </w:r>
    <w:r w:rsidRPr="00396457">
      <w:rPr>
        <w:sz w:val="20"/>
        <w:szCs w:val="20"/>
        <w:lang w:val="en-US"/>
      </w:rPr>
      <w:tab/>
      <w:t>Victoria Street West, Auckland</w:t>
    </w:r>
  </w:p>
  <w:p w14:paraId="1C8A635C" w14:textId="1F511A68" w:rsidR="004B5B35" w:rsidRPr="00396457" w:rsidRDefault="004B5B35" w:rsidP="00396457">
    <w:pPr>
      <w:pStyle w:val="Footer"/>
      <w:rPr>
        <w:sz w:val="20"/>
        <w:szCs w:val="20"/>
        <w:lang w:val="en-US"/>
      </w:rPr>
    </w:pPr>
    <w:r w:rsidRPr="00396457">
      <w:rPr>
        <w:sz w:val="20"/>
        <w:szCs w:val="20"/>
        <w:lang w:val="en-US"/>
      </w:rPr>
      <w:tab/>
    </w:r>
    <w:r w:rsidRPr="00396457">
      <w:rPr>
        <w:sz w:val="20"/>
        <w:szCs w:val="20"/>
        <w:lang w:val="en-US"/>
      </w:rPr>
      <w:tab/>
      <w:t>1142</w:t>
    </w:r>
  </w:p>
  <w:p w14:paraId="547EDE82" w14:textId="5AD3C1CE" w:rsidR="004B5B35" w:rsidRPr="00396457" w:rsidRDefault="004B5B35" w:rsidP="00396457">
    <w:pPr>
      <w:pStyle w:val="Footer"/>
      <w:rPr>
        <w:sz w:val="20"/>
        <w:szCs w:val="20"/>
        <w:lang w:val="en-US"/>
      </w:rPr>
    </w:pPr>
    <w:r w:rsidRPr="00396457">
      <w:rPr>
        <w:sz w:val="20"/>
        <w:szCs w:val="20"/>
        <w:lang w:val="en-US"/>
      </w:rPr>
      <w:tab/>
    </w:r>
    <w:r w:rsidRPr="00396457">
      <w:rPr>
        <w:sz w:val="20"/>
        <w:szCs w:val="20"/>
        <w:lang w:val="en-US"/>
      </w:rPr>
      <w:tab/>
    </w:r>
    <w:r>
      <w:rPr>
        <w:sz w:val="20"/>
        <w:szCs w:val="20"/>
        <w:lang w:val="en-US"/>
      </w:rPr>
      <w:t>C Woodhouse</w:t>
    </w:r>
  </w:p>
  <w:p w14:paraId="222B057C" w14:textId="73077CE3" w:rsidR="004B5B35" w:rsidRPr="00396457" w:rsidRDefault="004B5B35" w:rsidP="00396457">
    <w:pPr>
      <w:pStyle w:val="Footer"/>
      <w:rPr>
        <w:sz w:val="20"/>
        <w:szCs w:val="20"/>
        <w:lang w:val="en-US"/>
      </w:rPr>
    </w:pPr>
    <w:r w:rsidRPr="00396457">
      <w:rPr>
        <w:sz w:val="20"/>
        <w:szCs w:val="20"/>
        <w:lang w:val="en-US"/>
      </w:rPr>
      <w:tab/>
    </w:r>
    <w:r w:rsidRPr="00396457">
      <w:rPr>
        <w:sz w:val="20"/>
        <w:szCs w:val="20"/>
        <w:lang w:val="en-US"/>
      </w:rPr>
      <w:tab/>
    </w:r>
    <w:hyperlink r:id="rId1" w:history="1">
      <w:r w:rsidRPr="00E44D55">
        <w:rPr>
          <w:rStyle w:val="Hyperlink"/>
          <w:sz w:val="20"/>
          <w:szCs w:val="20"/>
          <w:lang w:val="en-US"/>
        </w:rPr>
        <w:t>cordelia@eds.org.nz</w:t>
      </w:r>
    </w:hyperlink>
    <w:r w:rsidRPr="00396457">
      <w:rPr>
        <w:sz w:val="20"/>
        <w:szCs w:val="20"/>
        <w:lang w:val="en-US"/>
      </w:rPr>
      <w:t xml:space="preserve"> </w:t>
    </w:r>
  </w:p>
  <w:p w14:paraId="28B53BB1" w14:textId="4B0E6A94" w:rsidR="004B5B35" w:rsidRPr="00396457" w:rsidRDefault="004B5B35" w:rsidP="0039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132D2" w14:textId="77777777" w:rsidR="00E01E95" w:rsidRDefault="00E01E95" w:rsidP="00EA09C1">
      <w:pPr>
        <w:spacing w:after="0" w:line="240" w:lineRule="auto"/>
      </w:pPr>
      <w:r>
        <w:separator/>
      </w:r>
    </w:p>
  </w:footnote>
  <w:footnote w:type="continuationSeparator" w:id="0">
    <w:p w14:paraId="4DF7D4F4" w14:textId="77777777" w:rsidR="00E01E95" w:rsidRDefault="00E01E95" w:rsidP="00EA09C1">
      <w:pPr>
        <w:spacing w:after="0" w:line="240" w:lineRule="auto"/>
      </w:pPr>
      <w:r>
        <w:continuationSeparator/>
      </w:r>
    </w:p>
  </w:footnote>
  <w:footnote w:id="1">
    <w:p w14:paraId="6556B606" w14:textId="7F9A74D8" w:rsidR="004B5B35" w:rsidRPr="00951E0D" w:rsidRDefault="004B5B35">
      <w:pPr>
        <w:pStyle w:val="FootnoteText"/>
        <w:rPr>
          <w:rFonts w:cstheme="minorHAnsi"/>
          <w:sz w:val="16"/>
          <w:szCs w:val="16"/>
        </w:rPr>
      </w:pPr>
      <w:r w:rsidRPr="00951E0D">
        <w:rPr>
          <w:rStyle w:val="FootnoteReference"/>
          <w:rFonts w:cstheme="minorHAnsi"/>
          <w:sz w:val="16"/>
          <w:szCs w:val="16"/>
        </w:rPr>
        <w:footnoteRef/>
      </w:r>
      <w:r w:rsidRPr="00951E0D">
        <w:rPr>
          <w:rFonts w:cstheme="minorHAnsi"/>
          <w:sz w:val="16"/>
          <w:szCs w:val="16"/>
        </w:rPr>
        <w:t xml:space="preserve"> See generally: </w:t>
      </w:r>
      <w:r w:rsidRPr="00951E0D">
        <w:rPr>
          <w:rFonts w:cstheme="minorHAnsi"/>
          <w:i/>
          <w:sz w:val="16"/>
          <w:szCs w:val="16"/>
        </w:rPr>
        <w:t>Vanishing Nature: facing New Zealand’s Biodiversity Crisis</w:t>
      </w:r>
      <w:r w:rsidRPr="00951E0D">
        <w:rPr>
          <w:rFonts w:cstheme="minorHAnsi"/>
          <w:sz w:val="16"/>
          <w:szCs w:val="16"/>
        </w:rPr>
        <w:t xml:space="preserve"> (2014), Brown M, Stevens T, Peart R. </w:t>
      </w:r>
    </w:p>
  </w:footnote>
  <w:footnote w:id="2">
    <w:p w14:paraId="0B7982AD" w14:textId="77777777" w:rsidR="004B5B35" w:rsidRPr="00951E0D" w:rsidRDefault="004B5B35" w:rsidP="00F26493">
      <w:pPr>
        <w:pStyle w:val="FootnoteText"/>
        <w:rPr>
          <w:sz w:val="16"/>
          <w:szCs w:val="16"/>
        </w:rPr>
      </w:pPr>
      <w:r w:rsidRPr="00951E0D">
        <w:rPr>
          <w:rStyle w:val="FootnoteReference"/>
          <w:sz w:val="16"/>
          <w:szCs w:val="16"/>
        </w:rPr>
        <w:footnoteRef/>
      </w:r>
      <w:r w:rsidRPr="00951E0D">
        <w:rPr>
          <w:sz w:val="16"/>
          <w:szCs w:val="16"/>
        </w:rPr>
        <w:t xml:space="preserve"> Head at [13.5]</w:t>
      </w:r>
    </w:p>
  </w:footnote>
  <w:footnote w:id="3">
    <w:p w14:paraId="409CC56A" w14:textId="77777777" w:rsidR="004B5B35" w:rsidRDefault="004B5B35" w:rsidP="00BD01A5">
      <w:pPr>
        <w:pStyle w:val="FootnoteText"/>
      </w:pPr>
      <w:r w:rsidRPr="00951E0D">
        <w:rPr>
          <w:rStyle w:val="FootnoteReference"/>
          <w:sz w:val="16"/>
          <w:szCs w:val="16"/>
        </w:rPr>
        <w:footnoteRef/>
      </w:r>
      <w:r w:rsidRPr="00951E0D">
        <w:rPr>
          <w:sz w:val="16"/>
          <w:szCs w:val="16"/>
        </w:rPr>
        <w:t xml:space="preserve"> Section 32 evaluation</w:t>
      </w:r>
      <w:r>
        <w:t xml:space="preserve"> </w:t>
      </w:r>
    </w:p>
  </w:footnote>
  <w:footnote w:id="4">
    <w:p w14:paraId="75C6AA54" w14:textId="0A0F5AAA" w:rsidR="004B5B35" w:rsidRDefault="004B5B35">
      <w:pPr>
        <w:pStyle w:val="FootnoteText"/>
      </w:pPr>
      <w:r w:rsidRPr="001B1D43">
        <w:rPr>
          <w:rStyle w:val="FootnoteReference"/>
          <w:sz w:val="16"/>
          <w:szCs w:val="16"/>
        </w:rPr>
        <w:footnoteRef/>
      </w:r>
      <w:r w:rsidRPr="001B1D43">
        <w:rPr>
          <w:sz w:val="16"/>
          <w:szCs w:val="16"/>
        </w:rPr>
        <w:t xml:space="preserve"> </w:t>
      </w:r>
      <w:r w:rsidRPr="007B0446">
        <w:rPr>
          <w:rFonts w:cstheme="minorHAnsi"/>
          <w:sz w:val="16"/>
          <w:szCs w:val="16"/>
          <w:lang w:val="en-US"/>
        </w:rPr>
        <w:t>s 62(3) RMA</w:t>
      </w:r>
    </w:p>
  </w:footnote>
  <w:footnote w:id="5">
    <w:p w14:paraId="1EDB9CE9" w14:textId="1EC3265E" w:rsidR="004B5B35" w:rsidRPr="00951E0D" w:rsidRDefault="004B5B35">
      <w:pPr>
        <w:pStyle w:val="FootnoteText"/>
        <w:rPr>
          <w:rFonts w:cstheme="minorHAnsi"/>
          <w:sz w:val="16"/>
          <w:szCs w:val="16"/>
        </w:rPr>
      </w:pPr>
      <w:r w:rsidRPr="00951E0D">
        <w:rPr>
          <w:rStyle w:val="FootnoteReference"/>
          <w:rFonts w:cstheme="minorHAnsi"/>
          <w:sz w:val="16"/>
          <w:szCs w:val="16"/>
        </w:rPr>
        <w:footnoteRef/>
      </w:r>
      <w:r w:rsidRPr="00951E0D">
        <w:rPr>
          <w:rFonts w:cstheme="minorHAnsi"/>
          <w:sz w:val="16"/>
          <w:szCs w:val="16"/>
        </w:rPr>
        <w:t xml:space="preserve"> Willis at [5.1]</w:t>
      </w:r>
    </w:p>
  </w:footnote>
  <w:footnote w:id="6">
    <w:p w14:paraId="2978FD11" w14:textId="64335C98" w:rsidR="00F10225" w:rsidRPr="00951E0D" w:rsidRDefault="00F10225" w:rsidP="00F10225">
      <w:pPr>
        <w:pStyle w:val="FootnoteText"/>
        <w:rPr>
          <w:rFonts w:cstheme="minorHAnsi"/>
          <w:sz w:val="16"/>
          <w:szCs w:val="16"/>
          <w:lang w:val="mi-NZ"/>
        </w:rPr>
      </w:pPr>
      <w:r w:rsidRPr="00951E0D">
        <w:rPr>
          <w:rStyle w:val="FootnoteReference"/>
          <w:rFonts w:cstheme="minorHAnsi"/>
          <w:sz w:val="16"/>
          <w:szCs w:val="16"/>
        </w:rPr>
        <w:footnoteRef/>
      </w:r>
      <w:r w:rsidRPr="00951E0D">
        <w:rPr>
          <w:rFonts w:cstheme="minorHAnsi"/>
          <w:sz w:val="16"/>
          <w:szCs w:val="16"/>
        </w:rPr>
        <w:t xml:space="preserve"> </w:t>
      </w:r>
      <w:proofErr w:type="spellStart"/>
      <w:r w:rsidR="001B1D43">
        <w:rPr>
          <w:i/>
          <w:iCs/>
          <w:sz w:val="16"/>
          <w:szCs w:val="16"/>
        </w:rPr>
        <w:t>Oceana</w:t>
      </w:r>
      <w:proofErr w:type="spellEnd"/>
      <w:r w:rsidR="001B1D43">
        <w:rPr>
          <w:i/>
          <w:iCs/>
          <w:sz w:val="16"/>
          <w:szCs w:val="16"/>
        </w:rPr>
        <w:t xml:space="preserve"> Gold (New Zealand) Ltd v Otago Regional Council </w:t>
      </w:r>
      <w:r w:rsidR="001B1D43">
        <w:rPr>
          <w:sz w:val="16"/>
          <w:szCs w:val="16"/>
        </w:rPr>
        <w:t xml:space="preserve">[2019] </w:t>
      </w:r>
      <w:proofErr w:type="spellStart"/>
      <w:r w:rsidR="001B1D43">
        <w:rPr>
          <w:sz w:val="16"/>
          <w:szCs w:val="16"/>
        </w:rPr>
        <w:t>NZEnvC</w:t>
      </w:r>
      <w:proofErr w:type="spellEnd"/>
      <w:r w:rsidR="001B1D43">
        <w:rPr>
          <w:sz w:val="16"/>
          <w:szCs w:val="16"/>
        </w:rPr>
        <w:t xml:space="preserve"> 41 at </w:t>
      </w:r>
      <w:r w:rsidRPr="00951E0D">
        <w:rPr>
          <w:rFonts w:cstheme="minorHAnsi"/>
          <w:sz w:val="16"/>
          <w:szCs w:val="16"/>
          <w:lang w:val="mi-NZ"/>
        </w:rPr>
        <w:t>[133].</w:t>
      </w:r>
    </w:p>
  </w:footnote>
  <w:footnote w:id="7">
    <w:p w14:paraId="219135C4" w14:textId="77777777" w:rsidR="00F10225" w:rsidRPr="00951E0D" w:rsidRDefault="00F10225" w:rsidP="00F10225">
      <w:pPr>
        <w:pStyle w:val="FootnoteText"/>
        <w:rPr>
          <w:rFonts w:cstheme="minorHAnsi"/>
          <w:sz w:val="16"/>
          <w:szCs w:val="16"/>
          <w:lang w:val="mi-NZ"/>
        </w:rPr>
      </w:pPr>
      <w:r w:rsidRPr="00951E0D">
        <w:rPr>
          <w:rStyle w:val="FootnoteReference"/>
          <w:rFonts w:cstheme="minorHAnsi"/>
          <w:sz w:val="16"/>
          <w:szCs w:val="16"/>
        </w:rPr>
        <w:footnoteRef/>
      </w:r>
      <w:r w:rsidRPr="00951E0D">
        <w:rPr>
          <w:rFonts w:cstheme="minorHAnsi"/>
          <w:sz w:val="16"/>
          <w:szCs w:val="16"/>
        </w:rPr>
        <w:t xml:space="preserve"> </w:t>
      </w:r>
      <w:r w:rsidRPr="001B1D43">
        <w:rPr>
          <w:rFonts w:cstheme="minorHAnsi"/>
          <w:i/>
          <w:iCs/>
          <w:sz w:val="16"/>
          <w:szCs w:val="16"/>
        </w:rPr>
        <w:t>Director-General of Conservation v Invercargill City Council</w:t>
      </w:r>
      <w:r w:rsidRPr="00951E0D">
        <w:rPr>
          <w:rFonts w:cstheme="minorHAnsi"/>
          <w:sz w:val="16"/>
          <w:szCs w:val="16"/>
          <w:lang w:val="mi-NZ"/>
        </w:rPr>
        <w:t xml:space="preserve"> [2018] NZEnvC 84 at [80].</w:t>
      </w:r>
    </w:p>
  </w:footnote>
  <w:footnote w:id="8">
    <w:p w14:paraId="78672CEE" w14:textId="47775F37" w:rsidR="004B5B35" w:rsidRPr="00951E0D" w:rsidRDefault="004B5B35">
      <w:pPr>
        <w:pStyle w:val="FootnoteText"/>
        <w:rPr>
          <w:rFonts w:cstheme="minorHAnsi"/>
          <w:sz w:val="16"/>
          <w:szCs w:val="16"/>
        </w:rPr>
      </w:pPr>
      <w:r w:rsidRPr="00951E0D">
        <w:rPr>
          <w:rStyle w:val="FootnoteReference"/>
          <w:rFonts w:cstheme="minorHAnsi"/>
          <w:sz w:val="16"/>
          <w:szCs w:val="16"/>
        </w:rPr>
        <w:footnoteRef/>
      </w:r>
      <w:r w:rsidRPr="00951E0D">
        <w:rPr>
          <w:rFonts w:cstheme="minorHAnsi"/>
          <w:sz w:val="16"/>
          <w:szCs w:val="16"/>
        </w:rPr>
        <w:t xml:space="preserve"> </w:t>
      </w:r>
      <w:r w:rsidRPr="00951E0D">
        <w:rPr>
          <w:rFonts w:cstheme="minorHAnsi"/>
          <w:i/>
          <w:iCs/>
          <w:sz w:val="16"/>
          <w:szCs w:val="16"/>
        </w:rPr>
        <w:t>Royal Forest &amp; Bird Protection Society of NZ Inc v New Plymouth District Council</w:t>
      </w:r>
      <w:r w:rsidRPr="00951E0D">
        <w:rPr>
          <w:rFonts w:cstheme="minorHAnsi"/>
          <w:b/>
          <w:bCs/>
          <w:i/>
          <w:iCs/>
          <w:sz w:val="16"/>
          <w:szCs w:val="16"/>
        </w:rPr>
        <w:t xml:space="preserve"> </w:t>
      </w:r>
      <w:r w:rsidRPr="00951E0D">
        <w:rPr>
          <w:rFonts w:cstheme="minorHAnsi"/>
          <w:sz w:val="16"/>
          <w:szCs w:val="16"/>
        </w:rPr>
        <w:t xml:space="preserve">[2015] </w:t>
      </w:r>
      <w:proofErr w:type="spellStart"/>
      <w:r w:rsidRPr="00951E0D">
        <w:rPr>
          <w:rFonts w:cstheme="minorHAnsi"/>
          <w:sz w:val="16"/>
          <w:szCs w:val="16"/>
        </w:rPr>
        <w:t>NZEnvC</w:t>
      </w:r>
      <w:proofErr w:type="spellEnd"/>
      <w:r w:rsidRPr="00951E0D">
        <w:rPr>
          <w:rFonts w:cstheme="minorHAnsi"/>
          <w:sz w:val="16"/>
          <w:szCs w:val="16"/>
        </w:rPr>
        <w:t xml:space="preserve"> 219 at [63].</w:t>
      </w:r>
    </w:p>
  </w:footnote>
  <w:footnote w:id="9">
    <w:p w14:paraId="749310B2" w14:textId="77777777" w:rsidR="00F10225" w:rsidRPr="00951E0D" w:rsidRDefault="00F10225" w:rsidP="00F10225">
      <w:pPr>
        <w:pStyle w:val="FootnoteText"/>
        <w:rPr>
          <w:rFonts w:cstheme="minorHAnsi"/>
          <w:sz w:val="16"/>
          <w:szCs w:val="16"/>
          <w:lang w:val="mi-NZ"/>
        </w:rPr>
      </w:pPr>
      <w:r w:rsidRPr="00951E0D">
        <w:rPr>
          <w:rStyle w:val="FootnoteReference"/>
          <w:rFonts w:cstheme="minorHAnsi"/>
          <w:sz w:val="16"/>
          <w:szCs w:val="16"/>
        </w:rPr>
        <w:footnoteRef/>
      </w:r>
      <w:r w:rsidRPr="00951E0D">
        <w:rPr>
          <w:rFonts w:cstheme="minorHAnsi"/>
          <w:sz w:val="16"/>
          <w:szCs w:val="16"/>
        </w:rPr>
        <w:t xml:space="preserve"> </w:t>
      </w:r>
      <w:r w:rsidRPr="001B1D43">
        <w:rPr>
          <w:rFonts w:cstheme="minorHAnsi"/>
          <w:i/>
          <w:iCs/>
          <w:sz w:val="16"/>
          <w:szCs w:val="16"/>
        </w:rPr>
        <w:t>Environmental Defence Society Inc v New Zealand King Salmon</w:t>
      </w:r>
      <w:r w:rsidRPr="00951E0D">
        <w:rPr>
          <w:rFonts w:cstheme="minorHAnsi"/>
          <w:sz w:val="16"/>
          <w:szCs w:val="16"/>
        </w:rPr>
        <w:t xml:space="preserve"> [2014] NZSC 38 </w:t>
      </w:r>
      <w:r w:rsidRPr="00951E0D">
        <w:rPr>
          <w:rFonts w:cstheme="minorHAnsi"/>
          <w:sz w:val="16"/>
          <w:szCs w:val="16"/>
          <w:lang w:val="mi-NZ"/>
        </w:rPr>
        <w:t>at [28].</w:t>
      </w:r>
    </w:p>
  </w:footnote>
  <w:footnote w:id="10">
    <w:p w14:paraId="7501DFB9" w14:textId="77777777" w:rsidR="00E21E0F" w:rsidRDefault="00E21E0F" w:rsidP="00E21E0F">
      <w:pPr>
        <w:pStyle w:val="FootnoteText"/>
      </w:pPr>
      <w:r w:rsidRPr="00951E0D">
        <w:rPr>
          <w:rStyle w:val="FootnoteReference"/>
          <w:rFonts w:cstheme="minorHAnsi"/>
          <w:sz w:val="16"/>
          <w:szCs w:val="16"/>
        </w:rPr>
        <w:footnoteRef/>
      </w:r>
      <w:r w:rsidRPr="00951E0D">
        <w:rPr>
          <w:rFonts w:cstheme="minorHAnsi"/>
          <w:sz w:val="16"/>
          <w:szCs w:val="16"/>
        </w:rPr>
        <w:t xml:space="preserve"> In the context of regional authorities see: </w:t>
      </w:r>
      <w:r w:rsidRPr="001B1D43">
        <w:rPr>
          <w:rFonts w:cstheme="minorHAnsi"/>
          <w:i/>
          <w:iCs/>
          <w:sz w:val="16"/>
          <w:szCs w:val="16"/>
        </w:rPr>
        <w:t>Attorney-General v Trustees of the Motiti Rohe Moana Trust</w:t>
      </w:r>
      <w:r w:rsidRPr="00951E0D">
        <w:rPr>
          <w:rFonts w:cstheme="minorHAnsi"/>
          <w:sz w:val="16"/>
          <w:szCs w:val="16"/>
        </w:rPr>
        <w:t xml:space="preserve"> [2017] NZHC 1429 at [127].</w:t>
      </w:r>
    </w:p>
  </w:footnote>
  <w:footnote w:id="11">
    <w:p w14:paraId="05976AAE" w14:textId="0710FE18"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See Walker at [39] – [43]</w:t>
      </w:r>
    </w:p>
  </w:footnote>
  <w:footnote w:id="12">
    <w:p w14:paraId="4331254D" w14:textId="77777777" w:rsidR="004B5B35" w:rsidRPr="00951E0D" w:rsidRDefault="004B5B35" w:rsidP="00FC5F93">
      <w:pPr>
        <w:pStyle w:val="FootnoteText"/>
        <w:rPr>
          <w:sz w:val="16"/>
          <w:szCs w:val="16"/>
        </w:rPr>
      </w:pPr>
      <w:r w:rsidRPr="00951E0D">
        <w:rPr>
          <w:rStyle w:val="FootnoteReference"/>
          <w:sz w:val="16"/>
          <w:szCs w:val="16"/>
        </w:rPr>
        <w:footnoteRef/>
      </w:r>
      <w:r w:rsidRPr="00951E0D">
        <w:rPr>
          <w:sz w:val="16"/>
          <w:szCs w:val="16"/>
        </w:rPr>
        <w:t xml:space="preserve"> Harding evidence at [13] </w:t>
      </w:r>
    </w:p>
  </w:footnote>
  <w:footnote w:id="13">
    <w:p w14:paraId="38EB95DA" w14:textId="014D2EC4"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See </w:t>
      </w:r>
      <w:r w:rsidRPr="00951E0D">
        <w:rPr>
          <w:i/>
          <w:iCs/>
          <w:sz w:val="16"/>
          <w:szCs w:val="16"/>
        </w:rPr>
        <w:t>West Coast Regional Council v Friends of Shearer Swamp</w:t>
      </w:r>
      <w:r w:rsidRPr="00951E0D">
        <w:rPr>
          <w:b/>
          <w:bCs/>
          <w:i/>
          <w:iCs/>
          <w:sz w:val="16"/>
          <w:szCs w:val="16"/>
        </w:rPr>
        <w:t xml:space="preserve"> </w:t>
      </w:r>
      <w:r w:rsidRPr="00951E0D">
        <w:rPr>
          <w:sz w:val="16"/>
          <w:szCs w:val="16"/>
        </w:rPr>
        <w:t>[2012] NZRMA 45 (HC).</w:t>
      </w:r>
    </w:p>
  </w:footnote>
  <w:footnote w:id="14">
    <w:p w14:paraId="1AC0554B" w14:textId="151632D1"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For example, the criteria for significant indigenous biodiversity in the Canterbury RP</w:t>
      </w:r>
      <w:r w:rsidR="001B1D43">
        <w:rPr>
          <w:sz w:val="16"/>
          <w:szCs w:val="16"/>
        </w:rPr>
        <w:t>S</w:t>
      </w:r>
    </w:p>
  </w:footnote>
  <w:footnote w:id="15">
    <w:p w14:paraId="44C54A90" w14:textId="4E75FA82"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Walker at [16]; 11</w:t>
      </w:r>
      <w:r w:rsidRPr="00951E0D">
        <w:rPr>
          <w:sz w:val="16"/>
          <w:szCs w:val="16"/>
          <w:vertAlign w:val="superscript"/>
        </w:rPr>
        <w:t>th</w:t>
      </w:r>
      <w:r w:rsidRPr="00951E0D">
        <w:rPr>
          <w:sz w:val="16"/>
          <w:szCs w:val="16"/>
        </w:rPr>
        <w:t xml:space="preserve"> decision at [236]- [237]</w:t>
      </w:r>
    </w:p>
  </w:footnote>
  <w:footnote w:id="16">
    <w:p w14:paraId="55344205" w14:textId="51D8C949" w:rsidR="004B5B35" w:rsidRPr="00A217DE" w:rsidRDefault="004B5B35">
      <w:pPr>
        <w:pStyle w:val="FootnoteText"/>
        <w:rPr>
          <w:sz w:val="16"/>
          <w:szCs w:val="16"/>
        </w:rPr>
      </w:pPr>
      <w:r w:rsidRPr="00A217DE">
        <w:rPr>
          <w:rStyle w:val="FootnoteReference"/>
          <w:sz w:val="16"/>
          <w:szCs w:val="16"/>
        </w:rPr>
        <w:footnoteRef/>
      </w:r>
      <w:r w:rsidRPr="00A217DE">
        <w:rPr>
          <w:sz w:val="16"/>
          <w:szCs w:val="16"/>
        </w:rPr>
        <w:t xml:space="preserve"> </w:t>
      </w:r>
      <w:r w:rsidR="001B1D43" w:rsidRPr="00A217DE">
        <w:rPr>
          <w:sz w:val="16"/>
          <w:szCs w:val="16"/>
        </w:rPr>
        <w:t xml:space="preserve">PC13 </w:t>
      </w:r>
      <w:r w:rsidRPr="00A217DE">
        <w:rPr>
          <w:sz w:val="16"/>
          <w:szCs w:val="16"/>
        </w:rPr>
        <w:t>11</w:t>
      </w:r>
      <w:r w:rsidRPr="00A217DE">
        <w:rPr>
          <w:sz w:val="16"/>
          <w:szCs w:val="16"/>
          <w:vertAlign w:val="superscript"/>
        </w:rPr>
        <w:t>th</w:t>
      </w:r>
      <w:r w:rsidRPr="00A217DE">
        <w:rPr>
          <w:sz w:val="16"/>
          <w:szCs w:val="16"/>
        </w:rPr>
        <w:t xml:space="preserve"> decision at [236]</w:t>
      </w:r>
    </w:p>
  </w:footnote>
  <w:footnote w:id="17">
    <w:p w14:paraId="2206F7F3" w14:textId="32F21B43" w:rsidR="00A217DE" w:rsidRDefault="00A217DE">
      <w:pPr>
        <w:pStyle w:val="FootnoteText"/>
      </w:pPr>
      <w:r w:rsidRPr="00A217DE">
        <w:rPr>
          <w:rStyle w:val="FootnoteReference"/>
          <w:sz w:val="16"/>
          <w:szCs w:val="16"/>
        </w:rPr>
        <w:footnoteRef/>
      </w:r>
      <w:r w:rsidRPr="00A217DE">
        <w:rPr>
          <w:sz w:val="16"/>
          <w:szCs w:val="16"/>
        </w:rPr>
        <w:t xml:space="preserve"> See </w:t>
      </w:r>
      <w:proofErr w:type="spellStart"/>
      <w:r w:rsidRPr="00A217DE">
        <w:rPr>
          <w:sz w:val="16"/>
          <w:szCs w:val="16"/>
        </w:rPr>
        <w:t>Espie</w:t>
      </w:r>
      <w:proofErr w:type="spellEnd"/>
      <w:r w:rsidRPr="00A217DE">
        <w:rPr>
          <w:sz w:val="16"/>
          <w:szCs w:val="16"/>
        </w:rPr>
        <w:t xml:space="preserve"> at [12] – [15]</w:t>
      </w:r>
    </w:p>
  </w:footnote>
  <w:footnote w:id="18">
    <w:p w14:paraId="57A492FD" w14:textId="77777777" w:rsidR="00E21E0F" w:rsidRDefault="00E21E0F" w:rsidP="00E21E0F">
      <w:pPr>
        <w:pStyle w:val="FootnoteText"/>
      </w:pPr>
      <w:r w:rsidRPr="00951E0D">
        <w:rPr>
          <w:rStyle w:val="FootnoteReference"/>
          <w:sz w:val="16"/>
          <w:szCs w:val="16"/>
        </w:rPr>
        <w:footnoteRef/>
      </w:r>
      <w:r w:rsidRPr="00951E0D">
        <w:rPr>
          <w:sz w:val="16"/>
          <w:szCs w:val="16"/>
        </w:rPr>
        <w:t xml:space="preserve"> Harding at [44]</w:t>
      </w:r>
      <w:r>
        <w:t xml:space="preserve"> </w:t>
      </w:r>
    </w:p>
  </w:footnote>
  <w:footnote w:id="19">
    <w:p w14:paraId="5FA7C85A" w14:textId="77777777" w:rsidR="00E21E0F" w:rsidRDefault="00E21E0F" w:rsidP="00E21E0F">
      <w:pPr>
        <w:pStyle w:val="FootnoteText"/>
      </w:pPr>
      <w:r w:rsidRPr="00951E0D">
        <w:rPr>
          <w:rStyle w:val="FootnoteReference"/>
          <w:sz w:val="16"/>
          <w:szCs w:val="16"/>
        </w:rPr>
        <w:footnoteRef/>
      </w:r>
      <w:r w:rsidRPr="00951E0D">
        <w:rPr>
          <w:sz w:val="16"/>
          <w:szCs w:val="16"/>
        </w:rPr>
        <w:t xml:space="preserve"> Harding at [29] – [31]</w:t>
      </w:r>
    </w:p>
  </w:footnote>
  <w:footnote w:id="20">
    <w:p w14:paraId="12B6234B" w14:textId="6601BAD4"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Walker at [16]</w:t>
      </w:r>
    </w:p>
  </w:footnote>
  <w:footnote w:id="21">
    <w:p w14:paraId="6498A6E7" w14:textId="1D1AAECC"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C</w:t>
      </w:r>
      <w:r w:rsidR="00951E0D">
        <w:rPr>
          <w:sz w:val="16"/>
          <w:szCs w:val="16"/>
        </w:rPr>
        <w:t>anterbury RPS, Appendix 3, C</w:t>
      </w:r>
      <w:r w:rsidRPr="00951E0D">
        <w:rPr>
          <w:sz w:val="16"/>
          <w:szCs w:val="16"/>
        </w:rPr>
        <w:t>riterion 6</w:t>
      </w:r>
    </w:p>
  </w:footnote>
  <w:footnote w:id="22">
    <w:p w14:paraId="4288F96C" w14:textId="481F9185"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w:t>
      </w:r>
      <w:r w:rsidR="00951E0D" w:rsidRPr="00951E0D">
        <w:rPr>
          <w:sz w:val="16"/>
          <w:szCs w:val="16"/>
        </w:rPr>
        <w:t>C</w:t>
      </w:r>
      <w:r w:rsidR="00951E0D">
        <w:rPr>
          <w:sz w:val="16"/>
          <w:szCs w:val="16"/>
        </w:rPr>
        <w:t xml:space="preserve">anterbury RPS, Appendix 3, </w:t>
      </w:r>
      <w:r w:rsidRPr="00951E0D">
        <w:rPr>
          <w:sz w:val="16"/>
          <w:szCs w:val="16"/>
        </w:rPr>
        <w:t>Criterion 8</w:t>
      </w:r>
    </w:p>
  </w:footnote>
  <w:footnote w:id="23">
    <w:p w14:paraId="3A89810A" w14:textId="09C02C81" w:rsidR="004B5B35" w:rsidRPr="00951E0D" w:rsidRDefault="004B5B35" w:rsidP="008A765A">
      <w:pPr>
        <w:pStyle w:val="FootnoteText"/>
        <w:rPr>
          <w:sz w:val="16"/>
          <w:szCs w:val="16"/>
        </w:rPr>
      </w:pPr>
      <w:r w:rsidRPr="00951E0D">
        <w:rPr>
          <w:rStyle w:val="FootnoteReference"/>
          <w:sz w:val="16"/>
          <w:szCs w:val="16"/>
        </w:rPr>
        <w:footnoteRef/>
      </w:r>
      <w:r w:rsidRPr="00951E0D">
        <w:rPr>
          <w:sz w:val="16"/>
          <w:szCs w:val="16"/>
        </w:rPr>
        <w:t>Walker at [18] – [22], Head at [4.3] – [4.4]</w:t>
      </w:r>
    </w:p>
  </w:footnote>
  <w:footnote w:id="24">
    <w:p w14:paraId="02A07F17" w14:textId="7E1E8470"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Ching at [43]</w:t>
      </w:r>
    </w:p>
  </w:footnote>
  <w:footnote w:id="25">
    <w:p w14:paraId="1B372687" w14:textId="6F675835"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Walker at [15.3]</w:t>
      </w:r>
    </w:p>
  </w:footnote>
  <w:footnote w:id="26">
    <w:p w14:paraId="02BB6BA4" w14:textId="2551CAAA" w:rsidR="004B5B35" w:rsidRDefault="004B5B35">
      <w:pPr>
        <w:pStyle w:val="FootnoteText"/>
      </w:pPr>
      <w:r w:rsidRPr="00951E0D">
        <w:rPr>
          <w:rStyle w:val="FootnoteReference"/>
          <w:sz w:val="16"/>
          <w:szCs w:val="16"/>
        </w:rPr>
        <w:footnoteRef/>
      </w:r>
      <w:r w:rsidRPr="00951E0D">
        <w:rPr>
          <w:sz w:val="16"/>
          <w:szCs w:val="16"/>
        </w:rPr>
        <w:t xml:space="preserve"> </w:t>
      </w:r>
      <w:r w:rsidR="001B1D43">
        <w:rPr>
          <w:sz w:val="16"/>
          <w:szCs w:val="16"/>
        </w:rPr>
        <w:t xml:space="preserve">PC13 </w:t>
      </w:r>
      <w:r w:rsidRPr="00951E0D">
        <w:rPr>
          <w:sz w:val="16"/>
          <w:szCs w:val="16"/>
        </w:rPr>
        <w:t>11</w:t>
      </w:r>
      <w:r w:rsidRPr="00951E0D">
        <w:rPr>
          <w:sz w:val="16"/>
          <w:szCs w:val="16"/>
          <w:vertAlign w:val="superscript"/>
        </w:rPr>
        <w:t>th</w:t>
      </w:r>
      <w:r w:rsidRPr="00951E0D">
        <w:rPr>
          <w:sz w:val="16"/>
          <w:szCs w:val="16"/>
        </w:rPr>
        <w:t xml:space="preserve"> decision </w:t>
      </w:r>
    </w:p>
  </w:footnote>
  <w:footnote w:id="27">
    <w:p w14:paraId="30B3903B" w14:textId="51821542"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Harding at [87] – [89]</w:t>
      </w:r>
    </w:p>
  </w:footnote>
  <w:footnote w:id="28">
    <w:p w14:paraId="3D23596A" w14:textId="1494CACD"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See evidence for Simons Pass Station Limited and Meridian Energy Limited. </w:t>
      </w:r>
    </w:p>
  </w:footnote>
  <w:footnote w:id="29">
    <w:p w14:paraId="3D500C68" w14:textId="4D513452"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Harding at [87]</w:t>
      </w:r>
    </w:p>
  </w:footnote>
  <w:footnote w:id="30">
    <w:p w14:paraId="0A898476" w14:textId="7C852B20" w:rsidR="004B5B35" w:rsidRPr="00951E0D" w:rsidRDefault="004B5B35" w:rsidP="00B5623C">
      <w:pPr>
        <w:pStyle w:val="FootnoteText"/>
        <w:rPr>
          <w:sz w:val="16"/>
          <w:szCs w:val="16"/>
        </w:rPr>
      </w:pPr>
      <w:r w:rsidRPr="00951E0D">
        <w:rPr>
          <w:rStyle w:val="FootnoteReference"/>
          <w:sz w:val="16"/>
          <w:szCs w:val="16"/>
        </w:rPr>
        <w:footnoteRef/>
      </w:r>
      <w:r w:rsidRPr="00951E0D">
        <w:rPr>
          <w:sz w:val="16"/>
          <w:szCs w:val="16"/>
        </w:rPr>
        <w:t xml:space="preserve"> See [57] –</w:t>
      </w:r>
      <w:r w:rsidR="00951E0D">
        <w:rPr>
          <w:sz w:val="16"/>
          <w:szCs w:val="16"/>
        </w:rPr>
        <w:t xml:space="preserve"> </w:t>
      </w:r>
      <w:r w:rsidRPr="00951E0D">
        <w:rPr>
          <w:sz w:val="16"/>
          <w:szCs w:val="16"/>
        </w:rPr>
        <w:t>[64]</w:t>
      </w:r>
    </w:p>
  </w:footnote>
  <w:footnote w:id="31">
    <w:p w14:paraId="5D13F20D" w14:textId="0B06B2DD"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White at [522]</w:t>
      </w:r>
    </w:p>
  </w:footnote>
  <w:footnote w:id="32">
    <w:p w14:paraId="58E2ADAA" w14:textId="2A4559E4"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At [119]</w:t>
      </w:r>
    </w:p>
  </w:footnote>
  <w:footnote w:id="33">
    <w:p w14:paraId="62DD9FF5" w14:textId="1C6A95B4"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Harding at [</w:t>
      </w:r>
      <w:r w:rsidR="00F53F9C">
        <w:rPr>
          <w:sz w:val="16"/>
          <w:szCs w:val="16"/>
        </w:rPr>
        <w:t>38</w:t>
      </w:r>
      <w:r w:rsidRPr="00951E0D">
        <w:rPr>
          <w:sz w:val="16"/>
          <w:szCs w:val="16"/>
        </w:rPr>
        <w:t>]</w:t>
      </w:r>
    </w:p>
  </w:footnote>
  <w:footnote w:id="34">
    <w:p w14:paraId="50ECE7A7" w14:textId="0E43DF93"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PC13 </w:t>
      </w:r>
      <w:r w:rsidR="00F53F9C">
        <w:rPr>
          <w:sz w:val="16"/>
          <w:szCs w:val="16"/>
        </w:rPr>
        <w:t>11</w:t>
      </w:r>
      <w:r w:rsidR="00F53F9C" w:rsidRPr="00F53F9C">
        <w:rPr>
          <w:sz w:val="16"/>
          <w:szCs w:val="16"/>
          <w:vertAlign w:val="superscript"/>
        </w:rPr>
        <w:t>th</w:t>
      </w:r>
      <w:r w:rsidR="00F53F9C">
        <w:rPr>
          <w:sz w:val="16"/>
          <w:szCs w:val="16"/>
        </w:rPr>
        <w:t xml:space="preserve"> decision </w:t>
      </w:r>
      <w:r w:rsidRPr="00951E0D">
        <w:rPr>
          <w:sz w:val="16"/>
          <w:szCs w:val="16"/>
        </w:rPr>
        <w:t>at [255]</w:t>
      </w:r>
    </w:p>
  </w:footnote>
  <w:footnote w:id="35">
    <w:p w14:paraId="1E065590" w14:textId="17F6FB7D" w:rsidR="004B5B35" w:rsidRPr="00951E0D" w:rsidRDefault="004B5B35">
      <w:pPr>
        <w:pStyle w:val="FootnoteText"/>
        <w:rPr>
          <w:sz w:val="16"/>
          <w:szCs w:val="16"/>
        </w:rPr>
      </w:pPr>
      <w:r w:rsidRPr="00951E0D">
        <w:rPr>
          <w:rStyle w:val="FootnoteReference"/>
          <w:sz w:val="16"/>
          <w:szCs w:val="16"/>
        </w:rPr>
        <w:footnoteRef/>
      </w:r>
      <w:r w:rsidRPr="00951E0D">
        <w:rPr>
          <w:sz w:val="16"/>
          <w:szCs w:val="16"/>
        </w:rPr>
        <w:t xml:space="preserve"> Ching at [74]</w:t>
      </w:r>
    </w:p>
  </w:footnote>
  <w:footnote w:id="36">
    <w:p w14:paraId="2B4D205A" w14:textId="66499523" w:rsidR="004B5B35" w:rsidRDefault="004B5B35">
      <w:pPr>
        <w:pStyle w:val="FootnoteText"/>
      </w:pPr>
      <w:r w:rsidRPr="00951E0D">
        <w:rPr>
          <w:rStyle w:val="FootnoteReference"/>
          <w:sz w:val="16"/>
          <w:szCs w:val="16"/>
        </w:rPr>
        <w:footnoteRef/>
      </w:r>
      <w:r w:rsidRPr="00951E0D">
        <w:rPr>
          <w:sz w:val="16"/>
          <w:szCs w:val="16"/>
        </w:rPr>
        <w:t xml:space="preserve"> See Walker [23] – [28]</w:t>
      </w:r>
    </w:p>
  </w:footnote>
  <w:footnote w:id="37">
    <w:p w14:paraId="046C74BE" w14:textId="5AAB5438" w:rsidR="004B5B35" w:rsidRDefault="004B5B35">
      <w:pPr>
        <w:pStyle w:val="FootnoteText"/>
      </w:pPr>
      <w:r w:rsidRPr="00951E0D">
        <w:rPr>
          <w:rStyle w:val="FootnoteReference"/>
          <w:sz w:val="16"/>
          <w:szCs w:val="16"/>
        </w:rPr>
        <w:footnoteRef/>
      </w:r>
      <w:r w:rsidRPr="00951E0D">
        <w:rPr>
          <w:sz w:val="16"/>
          <w:szCs w:val="16"/>
        </w:rPr>
        <w:t xml:space="preserve"> Head at [7.3]</w:t>
      </w:r>
    </w:p>
  </w:footnote>
  <w:footnote w:id="38">
    <w:p w14:paraId="794D5FB2" w14:textId="77777777" w:rsidR="004B5B35" w:rsidRDefault="004B5B35" w:rsidP="00BC01C9">
      <w:pPr>
        <w:pStyle w:val="FootnoteText"/>
      </w:pPr>
      <w:r w:rsidRPr="00F53F9C">
        <w:rPr>
          <w:rStyle w:val="FootnoteReference"/>
          <w:sz w:val="16"/>
          <w:szCs w:val="16"/>
        </w:rPr>
        <w:footnoteRef/>
      </w:r>
      <w:r w:rsidRPr="00F53F9C">
        <w:rPr>
          <w:sz w:val="16"/>
          <w:szCs w:val="16"/>
        </w:rPr>
        <w:t xml:space="preserve"> Head at [7.5] </w:t>
      </w:r>
    </w:p>
  </w:footnote>
  <w:footnote w:id="39">
    <w:p w14:paraId="1C0E3377" w14:textId="0C9B628A" w:rsidR="004B5B35" w:rsidRPr="00F53F9C" w:rsidRDefault="004B5B35" w:rsidP="00F53F9C">
      <w:pPr>
        <w:pStyle w:val="Default"/>
        <w:rPr>
          <w:rFonts w:asciiTheme="minorHAnsi" w:hAnsiTheme="minorHAnsi" w:cstheme="minorHAnsi"/>
        </w:rPr>
      </w:pPr>
      <w:r w:rsidRPr="00F53F9C">
        <w:rPr>
          <w:rStyle w:val="FootnoteReference"/>
          <w:rFonts w:asciiTheme="minorHAnsi" w:hAnsiTheme="minorHAnsi" w:cstheme="minorHAnsi"/>
          <w:sz w:val="16"/>
          <w:szCs w:val="16"/>
        </w:rPr>
        <w:footnoteRef/>
      </w:r>
      <w:r w:rsidRPr="00F53F9C">
        <w:rPr>
          <w:rFonts w:asciiTheme="minorHAnsi" w:hAnsiTheme="minorHAnsi" w:cstheme="minorHAnsi"/>
          <w:sz w:val="16"/>
          <w:szCs w:val="16"/>
        </w:rPr>
        <w:t xml:space="preserve"> </w:t>
      </w:r>
      <w:r w:rsidR="00F53F9C" w:rsidRPr="00F53F9C">
        <w:rPr>
          <w:rFonts w:asciiTheme="minorHAnsi" w:hAnsiTheme="minorHAnsi" w:cstheme="minorHAnsi"/>
          <w:sz w:val="16"/>
          <w:szCs w:val="16"/>
        </w:rPr>
        <w:t xml:space="preserve">Biodiversity Collaborative Group (2018) </w:t>
      </w:r>
      <w:r w:rsidR="00F53F9C" w:rsidRPr="00F53F9C">
        <w:rPr>
          <w:rFonts w:asciiTheme="minorHAnsi" w:hAnsiTheme="minorHAnsi" w:cstheme="minorHAnsi"/>
          <w:i/>
          <w:iCs/>
          <w:sz w:val="16"/>
          <w:szCs w:val="16"/>
        </w:rPr>
        <w:t>Report of the Biodiversity Collaborative Group</w:t>
      </w:r>
      <w:r w:rsidR="00F53F9C">
        <w:rPr>
          <w:rFonts w:asciiTheme="minorHAnsi" w:hAnsiTheme="minorHAnsi" w:cstheme="minorHAnsi"/>
          <w:sz w:val="16"/>
          <w:szCs w:val="16"/>
        </w:rPr>
        <w:t xml:space="preserve"> </w:t>
      </w:r>
      <w:r w:rsidRPr="00F53F9C">
        <w:rPr>
          <w:rFonts w:asciiTheme="minorHAnsi" w:hAnsiTheme="minorHAnsi" w:cstheme="minorHAnsi"/>
          <w:sz w:val="16"/>
          <w:szCs w:val="16"/>
        </w:rPr>
        <w:t xml:space="preserve">at 32  </w:t>
      </w:r>
    </w:p>
  </w:footnote>
  <w:footnote w:id="40">
    <w:p w14:paraId="5A57EB61" w14:textId="63CC6F26" w:rsidR="004B5B35" w:rsidRPr="00F53F9C" w:rsidRDefault="004B5B35">
      <w:pPr>
        <w:pStyle w:val="FootnoteText"/>
        <w:rPr>
          <w:sz w:val="16"/>
          <w:szCs w:val="16"/>
        </w:rPr>
      </w:pPr>
      <w:r w:rsidRPr="00F53F9C">
        <w:rPr>
          <w:rStyle w:val="FootnoteReference"/>
          <w:sz w:val="16"/>
          <w:szCs w:val="16"/>
        </w:rPr>
        <w:footnoteRef/>
      </w:r>
      <w:r w:rsidRPr="00F53F9C">
        <w:rPr>
          <w:sz w:val="16"/>
          <w:szCs w:val="16"/>
        </w:rPr>
        <w:t xml:space="preserve"> Walker at [38]</w:t>
      </w:r>
    </w:p>
  </w:footnote>
  <w:footnote w:id="41">
    <w:p w14:paraId="18B13C43" w14:textId="168A098F" w:rsidR="004B5B35" w:rsidRPr="00F53F9C" w:rsidRDefault="004B5B35">
      <w:pPr>
        <w:pStyle w:val="FootnoteText"/>
        <w:rPr>
          <w:sz w:val="16"/>
          <w:szCs w:val="16"/>
        </w:rPr>
      </w:pPr>
      <w:r w:rsidRPr="00F53F9C">
        <w:rPr>
          <w:rStyle w:val="FootnoteReference"/>
          <w:sz w:val="16"/>
          <w:szCs w:val="16"/>
        </w:rPr>
        <w:footnoteRef/>
      </w:r>
      <w:r w:rsidRPr="00F53F9C">
        <w:rPr>
          <w:sz w:val="16"/>
          <w:szCs w:val="16"/>
        </w:rPr>
        <w:t xml:space="preserve"> Walker at [42]</w:t>
      </w:r>
    </w:p>
  </w:footnote>
  <w:footnote w:id="42">
    <w:p w14:paraId="636E5573" w14:textId="33530940" w:rsidR="004B5B35" w:rsidRPr="00F53F9C" w:rsidRDefault="004B5B35" w:rsidP="0082679D">
      <w:pPr>
        <w:pStyle w:val="FootnoteText"/>
        <w:rPr>
          <w:sz w:val="16"/>
          <w:szCs w:val="16"/>
        </w:rPr>
      </w:pPr>
      <w:r w:rsidRPr="00F53F9C">
        <w:rPr>
          <w:rStyle w:val="FootnoteReference"/>
          <w:sz w:val="16"/>
          <w:szCs w:val="16"/>
        </w:rPr>
        <w:footnoteRef/>
      </w:r>
      <w:r w:rsidRPr="00F53F9C">
        <w:rPr>
          <w:sz w:val="16"/>
          <w:szCs w:val="16"/>
        </w:rPr>
        <w:t xml:space="preserve"> See Valentine at [25]</w:t>
      </w:r>
    </w:p>
  </w:footnote>
  <w:footnote w:id="43">
    <w:p w14:paraId="33A4DA56" w14:textId="63D45A7D" w:rsidR="004B5B35" w:rsidRDefault="004B5B35">
      <w:pPr>
        <w:pStyle w:val="FootnoteText"/>
      </w:pPr>
      <w:r w:rsidRPr="00F53F9C">
        <w:rPr>
          <w:rStyle w:val="FootnoteReference"/>
          <w:sz w:val="16"/>
          <w:szCs w:val="16"/>
        </w:rPr>
        <w:footnoteRef/>
      </w:r>
      <w:r w:rsidRPr="00F53F9C">
        <w:rPr>
          <w:sz w:val="16"/>
          <w:szCs w:val="16"/>
        </w:rPr>
        <w:t xml:space="preserve"> </w:t>
      </w:r>
      <w:r w:rsidR="00F53F9C">
        <w:rPr>
          <w:sz w:val="16"/>
          <w:szCs w:val="16"/>
        </w:rPr>
        <w:t xml:space="preserve">See evidence for Simons Pass Station Limited and Federated Farmers </w:t>
      </w:r>
      <w:r w:rsidRPr="00F53F9C">
        <w:rPr>
          <w:sz w:val="16"/>
          <w:szCs w:val="16"/>
        </w:rPr>
        <w:t xml:space="preserve"> </w:t>
      </w:r>
    </w:p>
  </w:footnote>
  <w:footnote w:id="44">
    <w:p w14:paraId="586DC28D" w14:textId="119D7628" w:rsidR="004B5B35" w:rsidRPr="001B1D43" w:rsidRDefault="004B5B35">
      <w:pPr>
        <w:pStyle w:val="FootnoteText"/>
        <w:rPr>
          <w:rFonts w:cstheme="minorHAnsi"/>
          <w:sz w:val="16"/>
          <w:szCs w:val="16"/>
        </w:rPr>
      </w:pPr>
      <w:r w:rsidRPr="001B1D43">
        <w:rPr>
          <w:rStyle w:val="FootnoteReference"/>
          <w:rFonts w:cstheme="minorHAnsi"/>
          <w:sz w:val="16"/>
          <w:szCs w:val="16"/>
        </w:rPr>
        <w:footnoteRef/>
      </w:r>
      <w:r w:rsidRPr="001B1D43">
        <w:rPr>
          <w:rFonts w:cstheme="minorHAnsi"/>
          <w:sz w:val="16"/>
          <w:szCs w:val="16"/>
        </w:rPr>
        <w:t xml:space="preserve"> See also discussion</w:t>
      </w:r>
      <w:r w:rsidR="001B1D43">
        <w:rPr>
          <w:rFonts w:cstheme="minorHAnsi"/>
          <w:sz w:val="16"/>
          <w:szCs w:val="16"/>
        </w:rPr>
        <w:t>:</w:t>
      </w:r>
      <w:r w:rsidRPr="001B1D43">
        <w:rPr>
          <w:rFonts w:cstheme="minorHAnsi"/>
          <w:sz w:val="16"/>
          <w:szCs w:val="16"/>
        </w:rPr>
        <w:t xml:space="preserve"> Walker at [44]</w:t>
      </w:r>
    </w:p>
  </w:footnote>
  <w:footnote w:id="45">
    <w:p w14:paraId="031F55EF" w14:textId="3D725734" w:rsidR="004B5B35" w:rsidRPr="001B1D43" w:rsidRDefault="004B5B35">
      <w:pPr>
        <w:pStyle w:val="FootnoteText"/>
        <w:rPr>
          <w:rFonts w:cstheme="minorHAnsi"/>
          <w:sz w:val="16"/>
          <w:szCs w:val="16"/>
        </w:rPr>
      </w:pPr>
      <w:r w:rsidRPr="001B1D43">
        <w:rPr>
          <w:rStyle w:val="FootnoteReference"/>
          <w:rFonts w:cstheme="minorHAnsi"/>
          <w:sz w:val="16"/>
          <w:szCs w:val="16"/>
        </w:rPr>
        <w:footnoteRef/>
      </w:r>
      <w:r w:rsidRPr="001B1D43">
        <w:rPr>
          <w:rFonts w:cstheme="minorHAnsi"/>
          <w:sz w:val="16"/>
          <w:szCs w:val="16"/>
        </w:rPr>
        <w:t xml:space="preserve"> And as set out in Walker at [46]</w:t>
      </w:r>
      <w:r w:rsidR="001B1D43">
        <w:rPr>
          <w:rFonts w:cstheme="minorHAnsi"/>
          <w:sz w:val="16"/>
          <w:szCs w:val="16"/>
        </w:rPr>
        <w:t>:</w:t>
      </w:r>
      <w:r w:rsidRPr="001B1D43">
        <w:rPr>
          <w:rFonts w:cstheme="minorHAnsi"/>
          <w:sz w:val="16"/>
          <w:szCs w:val="16"/>
        </w:rPr>
        <w:t xml:space="preserve"> a policy requiring no net loss of significant areas would need to result in a negative rate of development to encompass the impacts of edge effects.</w:t>
      </w:r>
    </w:p>
  </w:footnote>
  <w:footnote w:id="46">
    <w:p w14:paraId="6E429FBE" w14:textId="77777777" w:rsidR="004B5B35" w:rsidRPr="001B1D43" w:rsidRDefault="004B5B35" w:rsidP="00980A48">
      <w:pPr>
        <w:pStyle w:val="FootnoteText"/>
        <w:rPr>
          <w:rFonts w:cstheme="minorHAnsi"/>
          <w:sz w:val="16"/>
          <w:szCs w:val="16"/>
        </w:rPr>
      </w:pPr>
      <w:r w:rsidRPr="001B1D43">
        <w:rPr>
          <w:rStyle w:val="FootnoteReference"/>
          <w:rFonts w:cstheme="minorHAnsi"/>
          <w:sz w:val="16"/>
          <w:szCs w:val="16"/>
        </w:rPr>
        <w:footnoteRef/>
      </w:r>
      <w:r w:rsidRPr="001B1D43">
        <w:rPr>
          <w:rFonts w:cstheme="minorHAnsi"/>
          <w:sz w:val="16"/>
          <w:szCs w:val="16"/>
        </w:rPr>
        <w:t xml:space="preserve"> </w:t>
      </w:r>
      <w:r w:rsidRPr="001B1D43">
        <w:rPr>
          <w:rFonts w:cstheme="minorHAnsi"/>
          <w:i/>
          <w:sz w:val="16"/>
          <w:szCs w:val="16"/>
        </w:rPr>
        <w:t xml:space="preserve">Royal Forest &amp; Bird Protection Society Inc v New Plymouth District Council </w:t>
      </w:r>
      <w:r w:rsidRPr="001B1D43">
        <w:rPr>
          <w:rFonts w:cstheme="minorHAnsi"/>
          <w:sz w:val="16"/>
          <w:szCs w:val="16"/>
        </w:rPr>
        <w:t xml:space="preserve">[2015] </w:t>
      </w:r>
      <w:proofErr w:type="spellStart"/>
      <w:r w:rsidRPr="001B1D43">
        <w:rPr>
          <w:rFonts w:cstheme="minorHAnsi"/>
          <w:sz w:val="16"/>
          <w:szCs w:val="16"/>
        </w:rPr>
        <w:t>NZEnvC</w:t>
      </w:r>
      <w:proofErr w:type="spellEnd"/>
      <w:r w:rsidRPr="001B1D43">
        <w:rPr>
          <w:rFonts w:cstheme="minorHAnsi"/>
          <w:sz w:val="16"/>
          <w:szCs w:val="16"/>
        </w:rPr>
        <w:t xml:space="preserve"> 219.</w:t>
      </w:r>
    </w:p>
  </w:footnote>
  <w:footnote w:id="47">
    <w:p w14:paraId="50EBD1CA" w14:textId="52916236" w:rsidR="004B5B35" w:rsidRPr="001B1D43" w:rsidRDefault="004B5B35">
      <w:pPr>
        <w:pStyle w:val="FootnoteText"/>
        <w:rPr>
          <w:rFonts w:cstheme="minorHAnsi"/>
          <w:sz w:val="16"/>
          <w:szCs w:val="16"/>
        </w:rPr>
      </w:pPr>
      <w:r w:rsidRPr="001B1D43">
        <w:rPr>
          <w:rStyle w:val="FootnoteReference"/>
          <w:rFonts w:cstheme="minorHAnsi"/>
          <w:sz w:val="16"/>
          <w:szCs w:val="16"/>
        </w:rPr>
        <w:footnoteRef/>
      </w:r>
      <w:r w:rsidRPr="001B1D43">
        <w:rPr>
          <w:rFonts w:cstheme="minorHAnsi"/>
          <w:sz w:val="16"/>
          <w:szCs w:val="16"/>
        </w:rPr>
        <w:t xml:space="preserve"> See Walker at [45]</w:t>
      </w:r>
    </w:p>
  </w:footnote>
  <w:footnote w:id="48">
    <w:p w14:paraId="2DC3B5DE" w14:textId="40532A79" w:rsidR="004B5B35" w:rsidRPr="001B1D43" w:rsidRDefault="004B5B35" w:rsidP="00980A48">
      <w:pPr>
        <w:pStyle w:val="FootnoteText"/>
        <w:rPr>
          <w:rFonts w:cstheme="minorHAnsi"/>
          <w:sz w:val="16"/>
          <w:szCs w:val="16"/>
        </w:rPr>
      </w:pPr>
      <w:r w:rsidRPr="001B1D43">
        <w:rPr>
          <w:rStyle w:val="FootnoteReference"/>
          <w:rFonts w:cstheme="minorHAnsi"/>
          <w:sz w:val="16"/>
          <w:szCs w:val="16"/>
        </w:rPr>
        <w:footnoteRef/>
      </w:r>
      <w:r w:rsidRPr="001B1D43">
        <w:rPr>
          <w:rFonts w:cstheme="minorHAnsi"/>
          <w:sz w:val="16"/>
          <w:szCs w:val="16"/>
        </w:rPr>
        <w:t xml:space="preserve"> See discussion in </w:t>
      </w:r>
      <w:proofErr w:type="spellStart"/>
      <w:r w:rsidR="001B1D43">
        <w:rPr>
          <w:i/>
          <w:iCs/>
          <w:sz w:val="16"/>
          <w:szCs w:val="16"/>
        </w:rPr>
        <w:t>Oceana</w:t>
      </w:r>
      <w:proofErr w:type="spellEnd"/>
      <w:r w:rsidR="001B1D43">
        <w:rPr>
          <w:i/>
          <w:iCs/>
          <w:sz w:val="16"/>
          <w:szCs w:val="16"/>
        </w:rPr>
        <w:t xml:space="preserve"> Gold (New Zealand) Ltd v Otago Regional Council </w:t>
      </w:r>
      <w:r w:rsidR="001B1D43">
        <w:rPr>
          <w:sz w:val="16"/>
          <w:szCs w:val="16"/>
        </w:rPr>
        <w:t xml:space="preserve">[2019] </w:t>
      </w:r>
      <w:proofErr w:type="spellStart"/>
      <w:r w:rsidR="001B1D43">
        <w:rPr>
          <w:sz w:val="16"/>
          <w:szCs w:val="16"/>
        </w:rPr>
        <w:t>NZEnvC</w:t>
      </w:r>
      <w:proofErr w:type="spellEnd"/>
      <w:r w:rsidR="001B1D43">
        <w:rPr>
          <w:sz w:val="16"/>
          <w:szCs w:val="16"/>
        </w:rPr>
        <w:t xml:space="preserve"> 41 at </w:t>
      </w:r>
      <w:r w:rsidRPr="001B1D43">
        <w:rPr>
          <w:rFonts w:cstheme="minorHAnsi"/>
          <w:sz w:val="16"/>
          <w:szCs w:val="16"/>
        </w:rPr>
        <w:t xml:space="preserve">[89] – [ 95] upheld on appeal in </w:t>
      </w:r>
      <w:proofErr w:type="spellStart"/>
      <w:r w:rsidRPr="001B1D43">
        <w:rPr>
          <w:rFonts w:cstheme="minorHAnsi"/>
          <w:i/>
          <w:sz w:val="16"/>
          <w:szCs w:val="16"/>
        </w:rPr>
        <w:t>Oceana</w:t>
      </w:r>
      <w:proofErr w:type="spellEnd"/>
      <w:r w:rsidRPr="001B1D43">
        <w:rPr>
          <w:rFonts w:cstheme="minorHAnsi"/>
          <w:i/>
          <w:sz w:val="16"/>
          <w:szCs w:val="16"/>
        </w:rPr>
        <w:t xml:space="preserve"> Gold (New Zealand) Ltd v Otago Regional Council [</w:t>
      </w:r>
      <w:r w:rsidRPr="001B1D43">
        <w:rPr>
          <w:rFonts w:cstheme="minorHAnsi"/>
          <w:sz w:val="16"/>
          <w:szCs w:val="16"/>
        </w:rPr>
        <w:t>2020] NZHC 436.</w:t>
      </w:r>
    </w:p>
  </w:footnote>
  <w:footnote w:id="49">
    <w:p w14:paraId="4824C5C9" w14:textId="77777777" w:rsidR="004B5B35" w:rsidRDefault="004B5B35" w:rsidP="00980A48">
      <w:pPr>
        <w:pStyle w:val="FootnoteText"/>
      </w:pPr>
      <w:r w:rsidRPr="001B1D43">
        <w:rPr>
          <w:rStyle w:val="FootnoteReference"/>
          <w:rFonts w:cstheme="minorHAnsi"/>
          <w:sz w:val="16"/>
          <w:szCs w:val="16"/>
        </w:rPr>
        <w:footnoteRef/>
      </w:r>
      <w:r w:rsidRPr="001B1D43">
        <w:rPr>
          <w:rFonts w:cstheme="minorHAnsi"/>
          <w:sz w:val="16"/>
          <w:szCs w:val="16"/>
        </w:rPr>
        <w:t xml:space="preserve"> Head at [12.2]</w:t>
      </w:r>
    </w:p>
  </w:footnote>
  <w:footnote w:id="50">
    <w:p w14:paraId="58F1899D" w14:textId="4BDC2E77" w:rsidR="004B5B35" w:rsidRPr="00F53F9C" w:rsidRDefault="004B5B35">
      <w:pPr>
        <w:pStyle w:val="FootnoteText"/>
        <w:rPr>
          <w:sz w:val="16"/>
          <w:szCs w:val="16"/>
        </w:rPr>
      </w:pPr>
      <w:r w:rsidRPr="00F53F9C">
        <w:rPr>
          <w:rStyle w:val="FootnoteReference"/>
          <w:sz w:val="16"/>
          <w:szCs w:val="16"/>
        </w:rPr>
        <w:footnoteRef/>
      </w:r>
      <w:r w:rsidRPr="00F53F9C">
        <w:rPr>
          <w:sz w:val="16"/>
          <w:szCs w:val="16"/>
        </w:rPr>
        <w:t xml:space="preserve"> See Walker at [51]</w:t>
      </w:r>
    </w:p>
  </w:footnote>
  <w:footnote w:id="51">
    <w:p w14:paraId="4F188768" w14:textId="77777777" w:rsidR="004B5B35" w:rsidRPr="00F53F9C" w:rsidRDefault="004B5B35" w:rsidP="007A6DD3">
      <w:pPr>
        <w:pStyle w:val="FootnoteText"/>
        <w:rPr>
          <w:sz w:val="16"/>
          <w:szCs w:val="16"/>
        </w:rPr>
      </w:pPr>
      <w:r w:rsidRPr="00F53F9C">
        <w:rPr>
          <w:rStyle w:val="FootnoteReference"/>
          <w:sz w:val="16"/>
          <w:szCs w:val="16"/>
        </w:rPr>
        <w:footnoteRef/>
      </w:r>
      <w:r w:rsidRPr="00F53F9C">
        <w:rPr>
          <w:sz w:val="16"/>
          <w:szCs w:val="16"/>
        </w:rPr>
        <w:t xml:space="preserve"> Walker at [52]</w:t>
      </w:r>
    </w:p>
  </w:footnote>
  <w:footnote w:id="52">
    <w:p w14:paraId="040B25F8" w14:textId="72773E82" w:rsidR="004B5B35" w:rsidRPr="00F53F9C" w:rsidRDefault="004B5B35">
      <w:pPr>
        <w:pStyle w:val="FootnoteText"/>
        <w:rPr>
          <w:sz w:val="16"/>
          <w:szCs w:val="16"/>
        </w:rPr>
      </w:pPr>
      <w:r w:rsidRPr="00F53F9C">
        <w:rPr>
          <w:rStyle w:val="FootnoteReference"/>
          <w:sz w:val="16"/>
          <w:szCs w:val="16"/>
        </w:rPr>
        <w:footnoteRef/>
      </w:r>
      <w:r w:rsidRPr="00F53F9C">
        <w:rPr>
          <w:sz w:val="16"/>
          <w:szCs w:val="16"/>
        </w:rPr>
        <w:t xml:space="preserve"> Walker at [53]</w:t>
      </w:r>
    </w:p>
  </w:footnote>
  <w:footnote w:id="53">
    <w:p w14:paraId="67797062" w14:textId="77777777" w:rsidR="003A67DB" w:rsidRDefault="003A67DB" w:rsidP="003A67DB">
      <w:pPr>
        <w:pStyle w:val="FootnoteText"/>
      </w:pPr>
      <w:r w:rsidRPr="00F53F9C">
        <w:rPr>
          <w:rStyle w:val="FootnoteReference"/>
          <w:sz w:val="16"/>
          <w:szCs w:val="16"/>
        </w:rPr>
        <w:footnoteRef/>
      </w:r>
      <w:r w:rsidRPr="00F53F9C">
        <w:rPr>
          <w:sz w:val="16"/>
          <w:szCs w:val="16"/>
        </w:rPr>
        <w:t xml:space="preserve"> Head at [11.4]</w:t>
      </w:r>
    </w:p>
  </w:footnote>
  <w:footnote w:id="54">
    <w:p w14:paraId="22F460FA" w14:textId="44FD8BC6" w:rsidR="00FC09FF" w:rsidRPr="00F53F9C" w:rsidRDefault="00FC09FF">
      <w:pPr>
        <w:pStyle w:val="FootnoteText"/>
        <w:rPr>
          <w:sz w:val="16"/>
          <w:szCs w:val="16"/>
        </w:rPr>
      </w:pPr>
      <w:r w:rsidRPr="00F53F9C">
        <w:rPr>
          <w:rStyle w:val="FootnoteReference"/>
          <w:sz w:val="16"/>
          <w:szCs w:val="16"/>
        </w:rPr>
        <w:footnoteRef/>
      </w:r>
      <w:r w:rsidRPr="00F53F9C">
        <w:rPr>
          <w:sz w:val="16"/>
          <w:szCs w:val="16"/>
        </w:rPr>
        <w:t xml:space="preserve"> Walker at [60]</w:t>
      </w:r>
    </w:p>
  </w:footnote>
  <w:footnote w:id="55">
    <w:p w14:paraId="3345AD04" w14:textId="4AA5B6EC" w:rsidR="00FC09FF" w:rsidRPr="00F53F9C" w:rsidRDefault="00FC09FF">
      <w:pPr>
        <w:pStyle w:val="FootnoteText"/>
        <w:rPr>
          <w:sz w:val="16"/>
          <w:szCs w:val="16"/>
        </w:rPr>
      </w:pPr>
      <w:r w:rsidRPr="00F53F9C">
        <w:rPr>
          <w:rStyle w:val="FootnoteReference"/>
          <w:sz w:val="16"/>
          <w:szCs w:val="16"/>
        </w:rPr>
        <w:footnoteRef/>
      </w:r>
      <w:r w:rsidRPr="00F53F9C">
        <w:rPr>
          <w:sz w:val="16"/>
          <w:szCs w:val="16"/>
        </w:rPr>
        <w:t xml:space="preserve"> Harding at [85]</w:t>
      </w:r>
    </w:p>
  </w:footnote>
  <w:footnote w:id="56">
    <w:p w14:paraId="4CEE479C" w14:textId="24EFEED0" w:rsidR="00FC09FF" w:rsidRPr="00F53F9C" w:rsidRDefault="00FC09FF">
      <w:pPr>
        <w:pStyle w:val="FootnoteText"/>
        <w:rPr>
          <w:sz w:val="16"/>
          <w:szCs w:val="16"/>
        </w:rPr>
      </w:pPr>
      <w:r w:rsidRPr="00F53F9C">
        <w:rPr>
          <w:rStyle w:val="FootnoteReference"/>
          <w:sz w:val="16"/>
          <w:szCs w:val="16"/>
        </w:rPr>
        <w:footnoteRef/>
      </w:r>
      <w:r w:rsidRPr="00F53F9C">
        <w:rPr>
          <w:sz w:val="16"/>
          <w:szCs w:val="16"/>
        </w:rPr>
        <w:t xml:space="preserve"> Harding at [81]; Walker at [58].</w:t>
      </w:r>
    </w:p>
  </w:footnote>
  <w:footnote w:id="57">
    <w:p w14:paraId="6B548116" w14:textId="0D23F27C" w:rsidR="00FC09FF" w:rsidRPr="00F53F9C" w:rsidRDefault="00FC09FF">
      <w:pPr>
        <w:pStyle w:val="FootnoteText"/>
        <w:rPr>
          <w:sz w:val="16"/>
          <w:szCs w:val="16"/>
        </w:rPr>
      </w:pPr>
      <w:r w:rsidRPr="00F53F9C">
        <w:rPr>
          <w:rStyle w:val="FootnoteReference"/>
          <w:sz w:val="16"/>
          <w:szCs w:val="16"/>
        </w:rPr>
        <w:footnoteRef/>
      </w:r>
      <w:r w:rsidRPr="00F53F9C">
        <w:rPr>
          <w:sz w:val="16"/>
          <w:szCs w:val="16"/>
        </w:rPr>
        <w:t xml:space="preserve"> Harding at [82]</w:t>
      </w:r>
    </w:p>
  </w:footnote>
  <w:footnote w:id="58">
    <w:p w14:paraId="4FA8B1BF" w14:textId="0A202E66" w:rsidR="00FC09FF" w:rsidRDefault="00FC09FF">
      <w:pPr>
        <w:pStyle w:val="FootnoteText"/>
      </w:pPr>
      <w:r w:rsidRPr="00F53F9C">
        <w:rPr>
          <w:rStyle w:val="FootnoteReference"/>
          <w:sz w:val="16"/>
          <w:szCs w:val="16"/>
        </w:rPr>
        <w:footnoteRef/>
      </w:r>
      <w:r w:rsidRPr="00F53F9C">
        <w:rPr>
          <w:sz w:val="16"/>
          <w:szCs w:val="16"/>
        </w:rPr>
        <w:t xml:space="preserve"> Harding at [85]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3C87"/>
    <w:multiLevelType w:val="hybridMultilevel"/>
    <w:tmpl w:val="C8C81A9A"/>
    <w:lvl w:ilvl="0" w:tplc="2DFA1CC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73D3934"/>
    <w:multiLevelType w:val="hybridMultilevel"/>
    <w:tmpl w:val="3AA66D9E"/>
    <w:lvl w:ilvl="0" w:tplc="028C2BF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226F26B2"/>
    <w:multiLevelType w:val="hybridMultilevel"/>
    <w:tmpl w:val="341A4872"/>
    <w:lvl w:ilvl="0" w:tplc="118A516A">
      <w:start w:val="1"/>
      <w:numFmt w:val="decimal"/>
      <w:lvlText w:val="%1 "/>
      <w:lvlJc w:val="right"/>
      <w:pPr>
        <w:ind w:left="720" w:hanging="360"/>
      </w:pPr>
      <w:rPr>
        <w:rFonts w:hint="default"/>
        <w:b w:val="0"/>
        <w:i w:val="0"/>
      </w:rPr>
    </w:lvl>
    <w:lvl w:ilvl="1" w:tplc="14090001">
      <w:start w:val="1"/>
      <w:numFmt w:val="bullet"/>
      <w:lvlText w:val=""/>
      <w:lvlJc w:val="left"/>
      <w:pPr>
        <w:ind w:left="1440" w:hanging="360"/>
      </w:pPr>
      <w:rPr>
        <w:rFonts w:ascii="Symbol" w:hAnsi="Symbol" w:cs="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7A92D53"/>
    <w:multiLevelType w:val="hybridMultilevel"/>
    <w:tmpl w:val="94FCEAD8"/>
    <w:lvl w:ilvl="0" w:tplc="FABC88E8">
      <w:start w:val="1"/>
      <w:numFmt w:val="lowerLetter"/>
      <w:lvlText w:val="%1."/>
      <w:lvlJc w:val="left"/>
      <w:pPr>
        <w:ind w:left="1080" w:hanging="36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A99796D"/>
    <w:multiLevelType w:val="hybridMultilevel"/>
    <w:tmpl w:val="4FCA55F4"/>
    <w:lvl w:ilvl="0" w:tplc="B642B2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F627DA1"/>
    <w:multiLevelType w:val="hybridMultilevel"/>
    <w:tmpl w:val="038A11CE"/>
    <w:lvl w:ilvl="0" w:tplc="22D4827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5C15E06"/>
    <w:multiLevelType w:val="hybridMultilevel"/>
    <w:tmpl w:val="EDC64EE4"/>
    <w:lvl w:ilvl="0" w:tplc="3250A3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A6752C4"/>
    <w:multiLevelType w:val="hybridMultilevel"/>
    <w:tmpl w:val="280A6184"/>
    <w:lvl w:ilvl="0" w:tplc="3DD6B598">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3FBC5991"/>
    <w:multiLevelType w:val="hybridMultilevel"/>
    <w:tmpl w:val="1842F5E2"/>
    <w:lvl w:ilvl="0" w:tplc="118A516A">
      <w:start w:val="1"/>
      <w:numFmt w:val="decimal"/>
      <w:lvlText w:val="%1 "/>
      <w:lvlJc w:val="right"/>
      <w:pPr>
        <w:ind w:left="720" w:hanging="360"/>
      </w:pPr>
      <w:rPr>
        <w:rFonts w:hint="default"/>
        <w:b w:val="0"/>
        <w:i w:val="0"/>
      </w:rPr>
    </w:lvl>
    <w:lvl w:ilvl="1" w:tplc="14090001">
      <w:start w:val="1"/>
      <w:numFmt w:val="bullet"/>
      <w:lvlText w:val=""/>
      <w:lvlJc w:val="left"/>
      <w:pPr>
        <w:ind w:left="1440" w:hanging="360"/>
      </w:pPr>
      <w:rPr>
        <w:rFonts w:ascii="Symbol" w:hAnsi="Symbol" w:cs="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24677D"/>
    <w:multiLevelType w:val="hybridMultilevel"/>
    <w:tmpl w:val="E8DCBE3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49E10F4F"/>
    <w:multiLevelType w:val="hybridMultilevel"/>
    <w:tmpl w:val="0AE8B4CA"/>
    <w:lvl w:ilvl="0" w:tplc="8A1A6C0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15A2475"/>
    <w:multiLevelType w:val="hybridMultilevel"/>
    <w:tmpl w:val="341A4872"/>
    <w:lvl w:ilvl="0" w:tplc="118A516A">
      <w:start w:val="1"/>
      <w:numFmt w:val="decimal"/>
      <w:lvlText w:val="%1 "/>
      <w:lvlJc w:val="right"/>
      <w:pPr>
        <w:ind w:left="720" w:hanging="360"/>
      </w:pPr>
      <w:rPr>
        <w:rFonts w:hint="default"/>
        <w:b w:val="0"/>
        <w:i w:val="0"/>
      </w:rPr>
    </w:lvl>
    <w:lvl w:ilvl="1" w:tplc="14090001">
      <w:start w:val="1"/>
      <w:numFmt w:val="bullet"/>
      <w:lvlText w:val=""/>
      <w:lvlJc w:val="left"/>
      <w:pPr>
        <w:ind w:left="1440" w:hanging="360"/>
      </w:pPr>
      <w:rPr>
        <w:rFonts w:ascii="Symbol" w:hAnsi="Symbol" w:cs="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1AE3B3C"/>
    <w:multiLevelType w:val="hybridMultilevel"/>
    <w:tmpl w:val="1842F5E2"/>
    <w:lvl w:ilvl="0" w:tplc="118A516A">
      <w:start w:val="1"/>
      <w:numFmt w:val="decimal"/>
      <w:lvlText w:val="%1 "/>
      <w:lvlJc w:val="right"/>
      <w:pPr>
        <w:ind w:left="720" w:hanging="360"/>
      </w:pPr>
      <w:rPr>
        <w:rFonts w:hint="default"/>
        <w:b w:val="0"/>
        <w:i w:val="0"/>
      </w:rPr>
    </w:lvl>
    <w:lvl w:ilvl="1" w:tplc="14090001">
      <w:start w:val="1"/>
      <w:numFmt w:val="bullet"/>
      <w:lvlText w:val=""/>
      <w:lvlJc w:val="left"/>
      <w:pPr>
        <w:ind w:left="1440" w:hanging="360"/>
      </w:pPr>
      <w:rPr>
        <w:rFonts w:ascii="Symbol" w:hAnsi="Symbol" w:cs="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54F719B"/>
    <w:multiLevelType w:val="hybridMultilevel"/>
    <w:tmpl w:val="AE2EBEA2"/>
    <w:lvl w:ilvl="0" w:tplc="BD2A92DA">
      <w:start w:val="1"/>
      <w:numFmt w:val="decimal"/>
      <w:lvlText w:val="%1 "/>
      <w:lvlJc w:val="righ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BFA4294"/>
    <w:multiLevelType w:val="hybridMultilevel"/>
    <w:tmpl w:val="AB2AF39A"/>
    <w:lvl w:ilvl="0" w:tplc="1D9E769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5C544F14"/>
    <w:multiLevelType w:val="hybridMultilevel"/>
    <w:tmpl w:val="F0DA7EB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45721F4"/>
    <w:multiLevelType w:val="hybridMultilevel"/>
    <w:tmpl w:val="A9ACA6F4"/>
    <w:lvl w:ilvl="0" w:tplc="14090001">
      <w:start w:val="1"/>
      <w:numFmt w:val="bullet"/>
      <w:lvlText w:val=""/>
      <w:lvlJc w:val="left"/>
      <w:pPr>
        <w:ind w:left="720" w:hanging="360"/>
      </w:pPr>
      <w:rPr>
        <w:rFonts w:ascii="Symbol" w:hAnsi="Symbol" w:cs="Symbol" w:hint="default"/>
        <w:b w:val="0"/>
        <w:i w:val="0"/>
      </w:rPr>
    </w:lvl>
    <w:lvl w:ilvl="1" w:tplc="14090001">
      <w:start w:val="1"/>
      <w:numFmt w:val="bullet"/>
      <w:lvlText w:val=""/>
      <w:lvlJc w:val="left"/>
      <w:pPr>
        <w:ind w:left="1440" w:hanging="360"/>
      </w:pPr>
      <w:rPr>
        <w:rFonts w:ascii="Symbol" w:hAnsi="Symbol" w:cs="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4F26C2B"/>
    <w:multiLevelType w:val="hybridMultilevel"/>
    <w:tmpl w:val="155843E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6611688F"/>
    <w:multiLevelType w:val="hybridMultilevel"/>
    <w:tmpl w:val="5C189AD6"/>
    <w:lvl w:ilvl="0" w:tplc="7D20BE6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6EA16EE3"/>
    <w:multiLevelType w:val="hybridMultilevel"/>
    <w:tmpl w:val="BF408EC6"/>
    <w:lvl w:ilvl="0" w:tplc="6BD4287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723F38ED"/>
    <w:multiLevelType w:val="hybridMultilevel"/>
    <w:tmpl w:val="8AB48EFA"/>
    <w:lvl w:ilvl="0" w:tplc="3714499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74146329"/>
    <w:multiLevelType w:val="hybridMultilevel"/>
    <w:tmpl w:val="D2C4626E"/>
    <w:lvl w:ilvl="0" w:tplc="40D8E9B2">
      <w:numFmt w:val="bullet"/>
      <w:lvlText w:val="-"/>
      <w:lvlJc w:val="left"/>
      <w:pPr>
        <w:ind w:left="720" w:hanging="360"/>
      </w:pPr>
      <w:rPr>
        <w:rFonts w:ascii="Calibri" w:eastAsia="Calibri" w:hAnsi="Calibri" w:cs="Calibri"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BA0014E"/>
    <w:multiLevelType w:val="hybridMultilevel"/>
    <w:tmpl w:val="68DC3A54"/>
    <w:lvl w:ilvl="0" w:tplc="14090001">
      <w:start w:val="1"/>
      <w:numFmt w:val="bullet"/>
      <w:lvlText w:val=""/>
      <w:lvlJc w:val="left"/>
      <w:pPr>
        <w:ind w:left="1550" w:hanging="360"/>
      </w:pPr>
      <w:rPr>
        <w:rFonts w:ascii="Symbol" w:hAnsi="Symbol" w:hint="default"/>
      </w:rPr>
    </w:lvl>
    <w:lvl w:ilvl="1" w:tplc="14090003" w:tentative="1">
      <w:start w:val="1"/>
      <w:numFmt w:val="bullet"/>
      <w:lvlText w:val="o"/>
      <w:lvlJc w:val="left"/>
      <w:pPr>
        <w:ind w:left="2270" w:hanging="360"/>
      </w:pPr>
      <w:rPr>
        <w:rFonts w:ascii="Courier New" w:hAnsi="Courier New" w:cs="Courier New" w:hint="default"/>
      </w:rPr>
    </w:lvl>
    <w:lvl w:ilvl="2" w:tplc="14090005" w:tentative="1">
      <w:start w:val="1"/>
      <w:numFmt w:val="bullet"/>
      <w:lvlText w:val=""/>
      <w:lvlJc w:val="left"/>
      <w:pPr>
        <w:ind w:left="2990" w:hanging="360"/>
      </w:pPr>
      <w:rPr>
        <w:rFonts w:ascii="Wingdings" w:hAnsi="Wingdings" w:hint="default"/>
      </w:rPr>
    </w:lvl>
    <w:lvl w:ilvl="3" w:tplc="14090001" w:tentative="1">
      <w:start w:val="1"/>
      <w:numFmt w:val="bullet"/>
      <w:lvlText w:val=""/>
      <w:lvlJc w:val="left"/>
      <w:pPr>
        <w:ind w:left="3710" w:hanging="360"/>
      </w:pPr>
      <w:rPr>
        <w:rFonts w:ascii="Symbol" w:hAnsi="Symbol" w:hint="default"/>
      </w:rPr>
    </w:lvl>
    <w:lvl w:ilvl="4" w:tplc="14090003" w:tentative="1">
      <w:start w:val="1"/>
      <w:numFmt w:val="bullet"/>
      <w:lvlText w:val="o"/>
      <w:lvlJc w:val="left"/>
      <w:pPr>
        <w:ind w:left="4430" w:hanging="360"/>
      </w:pPr>
      <w:rPr>
        <w:rFonts w:ascii="Courier New" w:hAnsi="Courier New" w:cs="Courier New" w:hint="default"/>
      </w:rPr>
    </w:lvl>
    <w:lvl w:ilvl="5" w:tplc="14090005" w:tentative="1">
      <w:start w:val="1"/>
      <w:numFmt w:val="bullet"/>
      <w:lvlText w:val=""/>
      <w:lvlJc w:val="left"/>
      <w:pPr>
        <w:ind w:left="5150" w:hanging="360"/>
      </w:pPr>
      <w:rPr>
        <w:rFonts w:ascii="Wingdings" w:hAnsi="Wingdings" w:hint="default"/>
      </w:rPr>
    </w:lvl>
    <w:lvl w:ilvl="6" w:tplc="14090001" w:tentative="1">
      <w:start w:val="1"/>
      <w:numFmt w:val="bullet"/>
      <w:lvlText w:val=""/>
      <w:lvlJc w:val="left"/>
      <w:pPr>
        <w:ind w:left="5870" w:hanging="360"/>
      </w:pPr>
      <w:rPr>
        <w:rFonts w:ascii="Symbol" w:hAnsi="Symbol" w:hint="default"/>
      </w:rPr>
    </w:lvl>
    <w:lvl w:ilvl="7" w:tplc="14090003" w:tentative="1">
      <w:start w:val="1"/>
      <w:numFmt w:val="bullet"/>
      <w:lvlText w:val="o"/>
      <w:lvlJc w:val="left"/>
      <w:pPr>
        <w:ind w:left="6590" w:hanging="360"/>
      </w:pPr>
      <w:rPr>
        <w:rFonts w:ascii="Courier New" w:hAnsi="Courier New" w:cs="Courier New" w:hint="default"/>
      </w:rPr>
    </w:lvl>
    <w:lvl w:ilvl="8" w:tplc="14090005" w:tentative="1">
      <w:start w:val="1"/>
      <w:numFmt w:val="bullet"/>
      <w:lvlText w:val=""/>
      <w:lvlJc w:val="left"/>
      <w:pPr>
        <w:ind w:left="7310" w:hanging="360"/>
      </w:pPr>
      <w:rPr>
        <w:rFonts w:ascii="Wingdings" w:hAnsi="Wingdings" w:hint="default"/>
      </w:rPr>
    </w:lvl>
  </w:abstractNum>
  <w:abstractNum w:abstractNumId="23" w15:restartNumberingAfterBreak="0">
    <w:nsid w:val="7CB62362"/>
    <w:multiLevelType w:val="hybridMultilevel"/>
    <w:tmpl w:val="FE941C1C"/>
    <w:lvl w:ilvl="0" w:tplc="7BB8C50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1"/>
  </w:num>
  <w:num w:numId="2">
    <w:abstractNumId w:val="22"/>
  </w:num>
  <w:num w:numId="3">
    <w:abstractNumId w:val="4"/>
  </w:num>
  <w:num w:numId="4">
    <w:abstractNumId w:val="10"/>
  </w:num>
  <w:num w:numId="5">
    <w:abstractNumId w:val="0"/>
  </w:num>
  <w:num w:numId="6">
    <w:abstractNumId w:val="23"/>
  </w:num>
  <w:num w:numId="7">
    <w:abstractNumId w:val="3"/>
  </w:num>
  <w:num w:numId="8">
    <w:abstractNumId w:val="18"/>
  </w:num>
  <w:num w:numId="9">
    <w:abstractNumId w:val="17"/>
  </w:num>
  <w:num w:numId="10">
    <w:abstractNumId w:val="8"/>
  </w:num>
  <w:num w:numId="11">
    <w:abstractNumId w:val="15"/>
  </w:num>
  <w:num w:numId="12">
    <w:abstractNumId w:val="9"/>
  </w:num>
  <w:num w:numId="13">
    <w:abstractNumId w:val="7"/>
  </w:num>
  <w:num w:numId="14">
    <w:abstractNumId w:val="13"/>
  </w:num>
  <w:num w:numId="15">
    <w:abstractNumId w:val="21"/>
  </w:num>
  <w:num w:numId="16">
    <w:abstractNumId w:val="20"/>
  </w:num>
  <w:num w:numId="17">
    <w:abstractNumId w:val="1"/>
  </w:num>
  <w:num w:numId="18">
    <w:abstractNumId w:val="19"/>
  </w:num>
  <w:num w:numId="19">
    <w:abstractNumId w:val="6"/>
  </w:num>
  <w:num w:numId="20">
    <w:abstractNumId w:val="14"/>
  </w:num>
  <w:num w:numId="21">
    <w:abstractNumId w:val="5"/>
  </w:num>
  <w:num w:numId="22">
    <w:abstractNumId w:val="16"/>
  </w:num>
  <w:num w:numId="23">
    <w:abstractNumId w:val="12"/>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32"/>
    <w:rsid w:val="00002192"/>
    <w:rsid w:val="00002409"/>
    <w:rsid w:val="00004943"/>
    <w:rsid w:val="00004D29"/>
    <w:rsid w:val="000050D2"/>
    <w:rsid w:val="00007A70"/>
    <w:rsid w:val="00007F8B"/>
    <w:rsid w:val="0001163A"/>
    <w:rsid w:val="00011A2C"/>
    <w:rsid w:val="000129B9"/>
    <w:rsid w:val="0001582C"/>
    <w:rsid w:val="00015CED"/>
    <w:rsid w:val="00017FFD"/>
    <w:rsid w:val="00020229"/>
    <w:rsid w:val="000228A8"/>
    <w:rsid w:val="0002361E"/>
    <w:rsid w:val="0002377D"/>
    <w:rsid w:val="00023A63"/>
    <w:rsid w:val="00023E1E"/>
    <w:rsid w:val="000249FA"/>
    <w:rsid w:val="00024E1E"/>
    <w:rsid w:val="0002542E"/>
    <w:rsid w:val="0002627B"/>
    <w:rsid w:val="000268BA"/>
    <w:rsid w:val="00027CBD"/>
    <w:rsid w:val="000300D5"/>
    <w:rsid w:val="0003074D"/>
    <w:rsid w:val="000309EA"/>
    <w:rsid w:val="00031C15"/>
    <w:rsid w:val="000338D6"/>
    <w:rsid w:val="00034959"/>
    <w:rsid w:val="0003593A"/>
    <w:rsid w:val="00037110"/>
    <w:rsid w:val="000376FC"/>
    <w:rsid w:val="0004024D"/>
    <w:rsid w:val="00040800"/>
    <w:rsid w:val="000420A9"/>
    <w:rsid w:val="00042F41"/>
    <w:rsid w:val="00045AC1"/>
    <w:rsid w:val="000465F8"/>
    <w:rsid w:val="00047148"/>
    <w:rsid w:val="00050816"/>
    <w:rsid w:val="0005159C"/>
    <w:rsid w:val="0005187C"/>
    <w:rsid w:val="00051F7F"/>
    <w:rsid w:val="000520DC"/>
    <w:rsid w:val="00052DD7"/>
    <w:rsid w:val="00053327"/>
    <w:rsid w:val="000549AD"/>
    <w:rsid w:val="00055051"/>
    <w:rsid w:val="000568B9"/>
    <w:rsid w:val="00056A96"/>
    <w:rsid w:val="00057D9A"/>
    <w:rsid w:val="000610A3"/>
    <w:rsid w:val="000619DA"/>
    <w:rsid w:val="00062F12"/>
    <w:rsid w:val="00063B14"/>
    <w:rsid w:val="00064785"/>
    <w:rsid w:val="00064B8E"/>
    <w:rsid w:val="00071162"/>
    <w:rsid w:val="00071771"/>
    <w:rsid w:val="00071A14"/>
    <w:rsid w:val="00074787"/>
    <w:rsid w:val="00076212"/>
    <w:rsid w:val="0007759C"/>
    <w:rsid w:val="0008055C"/>
    <w:rsid w:val="00083058"/>
    <w:rsid w:val="0008344A"/>
    <w:rsid w:val="000840D3"/>
    <w:rsid w:val="000840E7"/>
    <w:rsid w:val="00084F39"/>
    <w:rsid w:val="00086241"/>
    <w:rsid w:val="00090FD0"/>
    <w:rsid w:val="00091A80"/>
    <w:rsid w:val="00092392"/>
    <w:rsid w:val="0009299B"/>
    <w:rsid w:val="000946A6"/>
    <w:rsid w:val="00095DD9"/>
    <w:rsid w:val="0009682F"/>
    <w:rsid w:val="00096B64"/>
    <w:rsid w:val="00096B76"/>
    <w:rsid w:val="00097C41"/>
    <w:rsid w:val="00097C72"/>
    <w:rsid w:val="000A00FB"/>
    <w:rsid w:val="000A0F82"/>
    <w:rsid w:val="000A19C9"/>
    <w:rsid w:val="000A1A3A"/>
    <w:rsid w:val="000A1CF8"/>
    <w:rsid w:val="000A20F3"/>
    <w:rsid w:val="000A31EF"/>
    <w:rsid w:val="000A3A09"/>
    <w:rsid w:val="000A468C"/>
    <w:rsid w:val="000A5F28"/>
    <w:rsid w:val="000B0BC7"/>
    <w:rsid w:val="000B2239"/>
    <w:rsid w:val="000B23EF"/>
    <w:rsid w:val="000B24F8"/>
    <w:rsid w:val="000B36FA"/>
    <w:rsid w:val="000B3CCF"/>
    <w:rsid w:val="000B4808"/>
    <w:rsid w:val="000B606B"/>
    <w:rsid w:val="000B6BAF"/>
    <w:rsid w:val="000C0B0E"/>
    <w:rsid w:val="000C0E3F"/>
    <w:rsid w:val="000C2184"/>
    <w:rsid w:val="000C31C3"/>
    <w:rsid w:val="000C3E5A"/>
    <w:rsid w:val="000C4DF4"/>
    <w:rsid w:val="000C68BF"/>
    <w:rsid w:val="000D0A17"/>
    <w:rsid w:val="000D0E20"/>
    <w:rsid w:val="000D1497"/>
    <w:rsid w:val="000D1907"/>
    <w:rsid w:val="000D220B"/>
    <w:rsid w:val="000D5745"/>
    <w:rsid w:val="000D62BD"/>
    <w:rsid w:val="000D7320"/>
    <w:rsid w:val="000E0EB4"/>
    <w:rsid w:val="000E154D"/>
    <w:rsid w:val="000E256D"/>
    <w:rsid w:val="000E48ED"/>
    <w:rsid w:val="000E5346"/>
    <w:rsid w:val="000E694C"/>
    <w:rsid w:val="000E797A"/>
    <w:rsid w:val="000F170A"/>
    <w:rsid w:val="000F2110"/>
    <w:rsid w:val="000F2204"/>
    <w:rsid w:val="000F3034"/>
    <w:rsid w:val="000F3461"/>
    <w:rsid w:val="000F5619"/>
    <w:rsid w:val="000F569D"/>
    <w:rsid w:val="000F6A2D"/>
    <w:rsid w:val="000F7126"/>
    <w:rsid w:val="001010EC"/>
    <w:rsid w:val="00102D5C"/>
    <w:rsid w:val="0010750A"/>
    <w:rsid w:val="00111F02"/>
    <w:rsid w:val="001131C9"/>
    <w:rsid w:val="00113448"/>
    <w:rsid w:val="00115596"/>
    <w:rsid w:val="0011741C"/>
    <w:rsid w:val="00117A9F"/>
    <w:rsid w:val="001200D6"/>
    <w:rsid w:val="001201BD"/>
    <w:rsid w:val="00120AC6"/>
    <w:rsid w:val="00122A0B"/>
    <w:rsid w:val="00123208"/>
    <w:rsid w:val="00123A50"/>
    <w:rsid w:val="00124F61"/>
    <w:rsid w:val="00126404"/>
    <w:rsid w:val="0013013D"/>
    <w:rsid w:val="00130A93"/>
    <w:rsid w:val="00131087"/>
    <w:rsid w:val="001318E2"/>
    <w:rsid w:val="001332CC"/>
    <w:rsid w:val="00133718"/>
    <w:rsid w:val="00133CB8"/>
    <w:rsid w:val="00133EC1"/>
    <w:rsid w:val="00133EDF"/>
    <w:rsid w:val="001346BE"/>
    <w:rsid w:val="00135CC1"/>
    <w:rsid w:val="00135DEC"/>
    <w:rsid w:val="00137115"/>
    <w:rsid w:val="001374A5"/>
    <w:rsid w:val="00137DFE"/>
    <w:rsid w:val="001400B7"/>
    <w:rsid w:val="00140AAA"/>
    <w:rsid w:val="00140E36"/>
    <w:rsid w:val="00141175"/>
    <w:rsid w:val="001414CC"/>
    <w:rsid w:val="00141B30"/>
    <w:rsid w:val="00142321"/>
    <w:rsid w:val="0014245B"/>
    <w:rsid w:val="00144E75"/>
    <w:rsid w:val="00146C4E"/>
    <w:rsid w:val="00147813"/>
    <w:rsid w:val="00150CFE"/>
    <w:rsid w:val="00151D61"/>
    <w:rsid w:val="00152086"/>
    <w:rsid w:val="00154745"/>
    <w:rsid w:val="00154D2C"/>
    <w:rsid w:val="00157DD6"/>
    <w:rsid w:val="00160D7E"/>
    <w:rsid w:val="00160F21"/>
    <w:rsid w:val="00161B82"/>
    <w:rsid w:val="00161FD5"/>
    <w:rsid w:val="00163121"/>
    <w:rsid w:val="00163A39"/>
    <w:rsid w:val="00163DFB"/>
    <w:rsid w:val="001661E9"/>
    <w:rsid w:val="0016717F"/>
    <w:rsid w:val="0016731C"/>
    <w:rsid w:val="001675EE"/>
    <w:rsid w:val="00167C4A"/>
    <w:rsid w:val="00170DAA"/>
    <w:rsid w:val="001710DD"/>
    <w:rsid w:val="00171458"/>
    <w:rsid w:val="0017161B"/>
    <w:rsid w:val="0017223F"/>
    <w:rsid w:val="001722DD"/>
    <w:rsid w:val="00173DC6"/>
    <w:rsid w:val="00180010"/>
    <w:rsid w:val="00180903"/>
    <w:rsid w:val="001815C3"/>
    <w:rsid w:val="0018204B"/>
    <w:rsid w:val="00182370"/>
    <w:rsid w:val="001825DC"/>
    <w:rsid w:val="001828F7"/>
    <w:rsid w:val="00183300"/>
    <w:rsid w:val="00184D0D"/>
    <w:rsid w:val="0018662E"/>
    <w:rsid w:val="0018703F"/>
    <w:rsid w:val="001902D5"/>
    <w:rsid w:val="0019453C"/>
    <w:rsid w:val="00194CED"/>
    <w:rsid w:val="00196D21"/>
    <w:rsid w:val="00197362"/>
    <w:rsid w:val="00197DC4"/>
    <w:rsid w:val="00197F16"/>
    <w:rsid w:val="001A0BB2"/>
    <w:rsid w:val="001A2546"/>
    <w:rsid w:val="001A2602"/>
    <w:rsid w:val="001A2A26"/>
    <w:rsid w:val="001A3E0B"/>
    <w:rsid w:val="001A4938"/>
    <w:rsid w:val="001A550D"/>
    <w:rsid w:val="001A7BC8"/>
    <w:rsid w:val="001B0638"/>
    <w:rsid w:val="001B1AAE"/>
    <w:rsid w:val="001B1D43"/>
    <w:rsid w:val="001B26DA"/>
    <w:rsid w:val="001B409B"/>
    <w:rsid w:val="001B495E"/>
    <w:rsid w:val="001B5DA5"/>
    <w:rsid w:val="001B6822"/>
    <w:rsid w:val="001B7A12"/>
    <w:rsid w:val="001B7DAD"/>
    <w:rsid w:val="001C1892"/>
    <w:rsid w:val="001C1A8A"/>
    <w:rsid w:val="001C248E"/>
    <w:rsid w:val="001C3EBD"/>
    <w:rsid w:val="001C52B3"/>
    <w:rsid w:val="001C5EDF"/>
    <w:rsid w:val="001C721F"/>
    <w:rsid w:val="001C7238"/>
    <w:rsid w:val="001D12AE"/>
    <w:rsid w:val="001D30E7"/>
    <w:rsid w:val="001D7046"/>
    <w:rsid w:val="001D7378"/>
    <w:rsid w:val="001E19E2"/>
    <w:rsid w:val="001E3250"/>
    <w:rsid w:val="001E7A70"/>
    <w:rsid w:val="001E7E65"/>
    <w:rsid w:val="001F1F98"/>
    <w:rsid w:val="001F27BF"/>
    <w:rsid w:val="001F2DBC"/>
    <w:rsid w:val="001F2DCE"/>
    <w:rsid w:val="001F335D"/>
    <w:rsid w:val="001F3577"/>
    <w:rsid w:val="001F3903"/>
    <w:rsid w:val="001F55CF"/>
    <w:rsid w:val="001F5BAA"/>
    <w:rsid w:val="00204F1C"/>
    <w:rsid w:val="00207694"/>
    <w:rsid w:val="00207C1B"/>
    <w:rsid w:val="00207C3B"/>
    <w:rsid w:val="00210035"/>
    <w:rsid w:val="002105DC"/>
    <w:rsid w:val="002132DC"/>
    <w:rsid w:val="002139F0"/>
    <w:rsid w:val="00214041"/>
    <w:rsid w:val="002144B2"/>
    <w:rsid w:val="00217A54"/>
    <w:rsid w:val="0022347A"/>
    <w:rsid w:val="002237EE"/>
    <w:rsid w:val="00224717"/>
    <w:rsid w:val="002248A6"/>
    <w:rsid w:val="00226179"/>
    <w:rsid w:val="00230561"/>
    <w:rsid w:val="00233D8E"/>
    <w:rsid w:val="00234C57"/>
    <w:rsid w:val="0023603A"/>
    <w:rsid w:val="002363AC"/>
    <w:rsid w:val="00237F32"/>
    <w:rsid w:val="00241F5D"/>
    <w:rsid w:val="00242767"/>
    <w:rsid w:val="00243807"/>
    <w:rsid w:val="002448FD"/>
    <w:rsid w:val="002459AA"/>
    <w:rsid w:val="0024605A"/>
    <w:rsid w:val="00246128"/>
    <w:rsid w:val="00247199"/>
    <w:rsid w:val="0024748B"/>
    <w:rsid w:val="00247F7D"/>
    <w:rsid w:val="00250B3A"/>
    <w:rsid w:val="002548DB"/>
    <w:rsid w:val="00254E56"/>
    <w:rsid w:val="002600D7"/>
    <w:rsid w:val="00260140"/>
    <w:rsid w:val="0026063B"/>
    <w:rsid w:val="00261155"/>
    <w:rsid w:val="002611E6"/>
    <w:rsid w:val="00261788"/>
    <w:rsid w:val="00262795"/>
    <w:rsid w:val="00262C81"/>
    <w:rsid w:val="00265FB4"/>
    <w:rsid w:val="0026632E"/>
    <w:rsid w:val="00266BDC"/>
    <w:rsid w:val="002673BB"/>
    <w:rsid w:val="0026796A"/>
    <w:rsid w:val="00270116"/>
    <w:rsid w:val="00270BBD"/>
    <w:rsid w:val="00270D7B"/>
    <w:rsid w:val="002719D9"/>
    <w:rsid w:val="002721D9"/>
    <w:rsid w:val="002734FB"/>
    <w:rsid w:val="0027361D"/>
    <w:rsid w:val="00273B9F"/>
    <w:rsid w:val="00274615"/>
    <w:rsid w:val="00277145"/>
    <w:rsid w:val="002803BF"/>
    <w:rsid w:val="00281B0C"/>
    <w:rsid w:val="002821F9"/>
    <w:rsid w:val="00282B6D"/>
    <w:rsid w:val="00283547"/>
    <w:rsid w:val="0028480E"/>
    <w:rsid w:val="00286BB9"/>
    <w:rsid w:val="00286C18"/>
    <w:rsid w:val="002879F5"/>
    <w:rsid w:val="00290D6F"/>
    <w:rsid w:val="00290F76"/>
    <w:rsid w:val="00291024"/>
    <w:rsid w:val="0029356F"/>
    <w:rsid w:val="00294AED"/>
    <w:rsid w:val="00294D1D"/>
    <w:rsid w:val="00297143"/>
    <w:rsid w:val="002A2166"/>
    <w:rsid w:val="002A2B2B"/>
    <w:rsid w:val="002A3166"/>
    <w:rsid w:val="002A3554"/>
    <w:rsid w:val="002A36D2"/>
    <w:rsid w:val="002A48D6"/>
    <w:rsid w:val="002A49B1"/>
    <w:rsid w:val="002A565F"/>
    <w:rsid w:val="002B1416"/>
    <w:rsid w:val="002B150C"/>
    <w:rsid w:val="002B6A12"/>
    <w:rsid w:val="002B79C7"/>
    <w:rsid w:val="002B79D4"/>
    <w:rsid w:val="002C0143"/>
    <w:rsid w:val="002C0721"/>
    <w:rsid w:val="002C18E9"/>
    <w:rsid w:val="002C302B"/>
    <w:rsid w:val="002C3A72"/>
    <w:rsid w:val="002C3DB1"/>
    <w:rsid w:val="002C40D2"/>
    <w:rsid w:val="002C43A4"/>
    <w:rsid w:val="002C4F1A"/>
    <w:rsid w:val="002C525A"/>
    <w:rsid w:val="002C55F7"/>
    <w:rsid w:val="002D01C1"/>
    <w:rsid w:val="002D0500"/>
    <w:rsid w:val="002D0783"/>
    <w:rsid w:val="002D2612"/>
    <w:rsid w:val="002D298B"/>
    <w:rsid w:val="002D39FE"/>
    <w:rsid w:val="002D6385"/>
    <w:rsid w:val="002E072E"/>
    <w:rsid w:val="002E1540"/>
    <w:rsid w:val="002E1D42"/>
    <w:rsid w:val="002E25B7"/>
    <w:rsid w:val="002E27BB"/>
    <w:rsid w:val="002E2D70"/>
    <w:rsid w:val="002E2E2E"/>
    <w:rsid w:val="002E3451"/>
    <w:rsid w:val="002E3DF5"/>
    <w:rsid w:val="002E441D"/>
    <w:rsid w:val="002F24AB"/>
    <w:rsid w:val="002F2C47"/>
    <w:rsid w:val="002F34CC"/>
    <w:rsid w:val="002F7318"/>
    <w:rsid w:val="00300267"/>
    <w:rsid w:val="00301875"/>
    <w:rsid w:val="00302631"/>
    <w:rsid w:val="003026BF"/>
    <w:rsid w:val="00303829"/>
    <w:rsid w:val="003039C8"/>
    <w:rsid w:val="00305985"/>
    <w:rsid w:val="003061B9"/>
    <w:rsid w:val="0030727F"/>
    <w:rsid w:val="003109DF"/>
    <w:rsid w:val="00311907"/>
    <w:rsid w:val="00311E4D"/>
    <w:rsid w:val="003134B3"/>
    <w:rsid w:val="00314BDA"/>
    <w:rsid w:val="00314F30"/>
    <w:rsid w:val="0031555E"/>
    <w:rsid w:val="00315927"/>
    <w:rsid w:val="00316582"/>
    <w:rsid w:val="003173EE"/>
    <w:rsid w:val="00320744"/>
    <w:rsid w:val="003221BD"/>
    <w:rsid w:val="00326A59"/>
    <w:rsid w:val="00327091"/>
    <w:rsid w:val="003276DB"/>
    <w:rsid w:val="00330144"/>
    <w:rsid w:val="003321CE"/>
    <w:rsid w:val="00332718"/>
    <w:rsid w:val="0033418E"/>
    <w:rsid w:val="003346B7"/>
    <w:rsid w:val="00335151"/>
    <w:rsid w:val="0033619F"/>
    <w:rsid w:val="00337E63"/>
    <w:rsid w:val="00343D1D"/>
    <w:rsid w:val="00343D5E"/>
    <w:rsid w:val="00344A35"/>
    <w:rsid w:val="00344ECC"/>
    <w:rsid w:val="003450C8"/>
    <w:rsid w:val="00345156"/>
    <w:rsid w:val="00347B65"/>
    <w:rsid w:val="00350325"/>
    <w:rsid w:val="003533C7"/>
    <w:rsid w:val="00353660"/>
    <w:rsid w:val="0035383B"/>
    <w:rsid w:val="003539DF"/>
    <w:rsid w:val="00353C9D"/>
    <w:rsid w:val="0035474E"/>
    <w:rsid w:val="00355615"/>
    <w:rsid w:val="003557E0"/>
    <w:rsid w:val="0035685B"/>
    <w:rsid w:val="003604B6"/>
    <w:rsid w:val="00361DED"/>
    <w:rsid w:val="00362D20"/>
    <w:rsid w:val="00365AF4"/>
    <w:rsid w:val="00367353"/>
    <w:rsid w:val="00370F05"/>
    <w:rsid w:val="00372808"/>
    <w:rsid w:val="00372BF6"/>
    <w:rsid w:val="0037660C"/>
    <w:rsid w:val="003766DF"/>
    <w:rsid w:val="00376A85"/>
    <w:rsid w:val="00376A93"/>
    <w:rsid w:val="003776DA"/>
    <w:rsid w:val="0037770D"/>
    <w:rsid w:val="00380B5A"/>
    <w:rsid w:val="003816F4"/>
    <w:rsid w:val="003821DB"/>
    <w:rsid w:val="00382580"/>
    <w:rsid w:val="00387B04"/>
    <w:rsid w:val="00387B24"/>
    <w:rsid w:val="00387F6A"/>
    <w:rsid w:val="003904B6"/>
    <w:rsid w:val="00390807"/>
    <w:rsid w:val="003914F3"/>
    <w:rsid w:val="00392231"/>
    <w:rsid w:val="003922EE"/>
    <w:rsid w:val="003926BE"/>
    <w:rsid w:val="00393B66"/>
    <w:rsid w:val="00395204"/>
    <w:rsid w:val="00396457"/>
    <w:rsid w:val="00396E1A"/>
    <w:rsid w:val="0039755C"/>
    <w:rsid w:val="003A01EB"/>
    <w:rsid w:val="003A0D2F"/>
    <w:rsid w:val="003A47FC"/>
    <w:rsid w:val="003A57C8"/>
    <w:rsid w:val="003A67DB"/>
    <w:rsid w:val="003A6FDF"/>
    <w:rsid w:val="003A78BB"/>
    <w:rsid w:val="003B1A96"/>
    <w:rsid w:val="003B2ADD"/>
    <w:rsid w:val="003B2D1C"/>
    <w:rsid w:val="003B3BA6"/>
    <w:rsid w:val="003B5854"/>
    <w:rsid w:val="003B7EC2"/>
    <w:rsid w:val="003C145C"/>
    <w:rsid w:val="003C2737"/>
    <w:rsid w:val="003C323D"/>
    <w:rsid w:val="003C50F5"/>
    <w:rsid w:val="003C630B"/>
    <w:rsid w:val="003C6A7B"/>
    <w:rsid w:val="003C7609"/>
    <w:rsid w:val="003C7E61"/>
    <w:rsid w:val="003D13D9"/>
    <w:rsid w:val="003D1B2F"/>
    <w:rsid w:val="003D1E1C"/>
    <w:rsid w:val="003D3DDE"/>
    <w:rsid w:val="003D554A"/>
    <w:rsid w:val="003D63B2"/>
    <w:rsid w:val="003D65B5"/>
    <w:rsid w:val="003E04EA"/>
    <w:rsid w:val="003E0817"/>
    <w:rsid w:val="003E1644"/>
    <w:rsid w:val="003E1A4A"/>
    <w:rsid w:val="003E29BB"/>
    <w:rsid w:val="003E2E49"/>
    <w:rsid w:val="003E4B5A"/>
    <w:rsid w:val="003E5C2D"/>
    <w:rsid w:val="003E6EFF"/>
    <w:rsid w:val="003F028E"/>
    <w:rsid w:val="003F102D"/>
    <w:rsid w:val="003F2523"/>
    <w:rsid w:val="003F340D"/>
    <w:rsid w:val="003F7F10"/>
    <w:rsid w:val="0040136B"/>
    <w:rsid w:val="004018E9"/>
    <w:rsid w:val="00401DC0"/>
    <w:rsid w:val="00403BA5"/>
    <w:rsid w:val="00405718"/>
    <w:rsid w:val="0040596C"/>
    <w:rsid w:val="00410C6F"/>
    <w:rsid w:val="004113A7"/>
    <w:rsid w:val="0041260D"/>
    <w:rsid w:val="00414906"/>
    <w:rsid w:val="00414E81"/>
    <w:rsid w:val="00415435"/>
    <w:rsid w:val="00416261"/>
    <w:rsid w:val="0041643D"/>
    <w:rsid w:val="004167D7"/>
    <w:rsid w:val="004169F1"/>
    <w:rsid w:val="00416B06"/>
    <w:rsid w:val="00417EB9"/>
    <w:rsid w:val="004212D8"/>
    <w:rsid w:val="0042167C"/>
    <w:rsid w:val="00421DD1"/>
    <w:rsid w:val="0042223C"/>
    <w:rsid w:val="00423BB1"/>
    <w:rsid w:val="004263A6"/>
    <w:rsid w:val="00427E1B"/>
    <w:rsid w:val="00430983"/>
    <w:rsid w:val="00431873"/>
    <w:rsid w:val="00432828"/>
    <w:rsid w:val="00433328"/>
    <w:rsid w:val="00433650"/>
    <w:rsid w:val="004341AC"/>
    <w:rsid w:val="004350FD"/>
    <w:rsid w:val="00435B9B"/>
    <w:rsid w:val="00436EB1"/>
    <w:rsid w:val="00440738"/>
    <w:rsid w:val="00441020"/>
    <w:rsid w:val="004410F6"/>
    <w:rsid w:val="00442EA4"/>
    <w:rsid w:val="004431C4"/>
    <w:rsid w:val="00446C8A"/>
    <w:rsid w:val="00446DA8"/>
    <w:rsid w:val="00447B1C"/>
    <w:rsid w:val="00450974"/>
    <w:rsid w:val="00452F33"/>
    <w:rsid w:val="00454F4D"/>
    <w:rsid w:val="00454F91"/>
    <w:rsid w:val="00455B69"/>
    <w:rsid w:val="00456D59"/>
    <w:rsid w:val="00457501"/>
    <w:rsid w:val="004579C8"/>
    <w:rsid w:val="004619D1"/>
    <w:rsid w:val="004626DC"/>
    <w:rsid w:val="00462B69"/>
    <w:rsid w:val="004664FB"/>
    <w:rsid w:val="0046677C"/>
    <w:rsid w:val="00466F5B"/>
    <w:rsid w:val="0047112E"/>
    <w:rsid w:val="0047258D"/>
    <w:rsid w:val="00472C5E"/>
    <w:rsid w:val="00472E67"/>
    <w:rsid w:val="004752F1"/>
    <w:rsid w:val="00475945"/>
    <w:rsid w:val="00475CF6"/>
    <w:rsid w:val="00476508"/>
    <w:rsid w:val="00481780"/>
    <w:rsid w:val="00483E0D"/>
    <w:rsid w:val="00484EBB"/>
    <w:rsid w:val="00484F06"/>
    <w:rsid w:val="0048547F"/>
    <w:rsid w:val="00486700"/>
    <w:rsid w:val="00486872"/>
    <w:rsid w:val="00490DE0"/>
    <w:rsid w:val="00492091"/>
    <w:rsid w:val="00492230"/>
    <w:rsid w:val="00492B62"/>
    <w:rsid w:val="00493230"/>
    <w:rsid w:val="00494205"/>
    <w:rsid w:val="004968E4"/>
    <w:rsid w:val="00496B1B"/>
    <w:rsid w:val="004A037B"/>
    <w:rsid w:val="004A08AC"/>
    <w:rsid w:val="004A1828"/>
    <w:rsid w:val="004A18AA"/>
    <w:rsid w:val="004B133F"/>
    <w:rsid w:val="004B307D"/>
    <w:rsid w:val="004B3091"/>
    <w:rsid w:val="004B3F44"/>
    <w:rsid w:val="004B5B35"/>
    <w:rsid w:val="004B602B"/>
    <w:rsid w:val="004B72FD"/>
    <w:rsid w:val="004B733E"/>
    <w:rsid w:val="004B76E7"/>
    <w:rsid w:val="004C07E6"/>
    <w:rsid w:val="004C1054"/>
    <w:rsid w:val="004C4D67"/>
    <w:rsid w:val="004C7759"/>
    <w:rsid w:val="004D26B7"/>
    <w:rsid w:val="004D28F0"/>
    <w:rsid w:val="004D33E7"/>
    <w:rsid w:val="004D394E"/>
    <w:rsid w:val="004D494C"/>
    <w:rsid w:val="004D5A52"/>
    <w:rsid w:val="004E114F"/>
    <w:rsid w:val="004E2961"/>
    <w:rsid w:val="004E2F93"/>
    <w:rsid w:val="004E3EDF"/>
    <w:rsid w:val="004E5F1A"/>
    <w:rsid w:val="004E5F77"/>
    <w:rsid w:val="004E63FD"/>
    <w:rsid w:val="004F19BD"/>
    <w:rsid w:val="004F1FF9"/>
    <w:rsid w:val="004F2D1C"/>
    <w:rsid w:val="004F3B49"/>
    <w:rsid w:val="004F3BB1"/>
    <w:rsid w:val="004F443D"/>
    <w:rsid w:val="004F4937"/>
    <w:rsid w:val="004F4DFB"/>
    <w:rsid w:val="004F5ACA"/>
    <w:rsid w:val="00500035"/>
    <w:rsid w:val="005019E6"/>
    <w:rsid w:val="00501AD6"/>
    <w:rsid w:val="005036CD"/>
    <w:rsid w:val="00504ED3"/>
    <w:rsid w:val="005054A7"/>
    <w:rsid w:val="00506439"/>
    <w:rsid w:val="00507FF9"/>
    <w:rsid w:val="00510D54"/>
    <w:rsid w:val="0051151F"/>
    <w:rsid w:val="00511A2A"/>
    <w:rsid w:val="00511D67"/>
    <w:rsid w:val="00514838"/>
    <w:rsid w:val="005207DF"/>
    <w:rsid w:val="00522601"/>
    <w:rsid w:val="00522D7F"/>
    <w:rsid w:val="00523AEB"/>
    <w:rsid w:val="00523B37"/>
    <w:rsid w:val="0052456B"/>
    <w:rsid w:val="00525804"/>
    <w:rsid w:val="005268B0"/>
    <w:rsid w:val="00526FEF"/>
    <w:rsid w:val="00526FFC"/>
    <w:rsid w:val="00527164"/>
    <w:rsid w:val="00530A0B"/>
    <w:rsid w:val="00531C56"/>
    <w:rsid w:val="0053437E"/>
    <w:rsid w:val="005347EE"/>
    <w:rsid w:val="00535412"/>
    <w:rsid w:val="00536D36"/>
    <w:rsid w:val="00540662"/>
    <w:rsid w:val="005411AF"/>
    <w:rsid w:val="0054215C"/>
    <w:rsid w:val="00544D1C"/>
    <w:rsid w:val="00545F69"/>
    <w:rsid w:val="00550E0B"/>
    <w:rsid w:val="00550FD1"/>
    <w:rsid w:val="00552B12"/>
    <w:rsid w:val="00553513"/>
    <w:rsid w:val="00553D47"/>
    <w:rsid w:val="00555A5F"/>
    <w:rsid w:val="00555BB9"/>
    <w:rsid w:val="00555FD4"/>
    <w:rsid w:val="00556746"/>
    <w:rsid w:val="00556AA5"/>
    <w:rsid w:val="00557676"/>
    <w:rsid w:val="00557A1A"/>
    <w:rsid w:val="00560377"/>
    <w:rsid w:val="0056042D"/>
    <w:rsid w:val="00561336"/>
    <w:rsid w:val="00561A75"/>
    <w:rsid w:val="00561DC9"/>
    <w:rsid w:val="00563097"/>
    <w:rsid w:val="005631CD"/>
    <w:rsid w:val="00563B35"/>
    <w:rsid w:val="00563CC6"/>
    <w:rsid w:val="00565230"/>
    <w:rsid w:val="00565BED"/>
    <w:rsid w:val="0056729D"/>
    <w:rsid w:val="00571C09"/>
    <w:rsid w:val="00571EA1"/>
    <w:rsid w:val="00571ECA"/>
    <w:rsid w:val="00572750"/>
    <w:rsid w:val="00573D3A"/>
    <w:rsid w:val="00575124"/>
    <w:rsid w:val="0057744C"/>
    <w:rsid w:val="005805D8"/>
    <w:rsid w:val="00580611"/>
    <w:rsid w:val="00581407"/>
    <w:rsid w:val="00582034"/>
    <w:rsid w:val="005826CA"/>
    <w:rsid w:val="005830AD"/>
    <w:rsid w:val="00586C34"/>
    <w:rsid w:val="005901AC"/>
    <w:rsid w:val="00590C12"/>
    <w:rsid w:val="00591C0D"/>
    <w:rsid w:val="00595446"/>
    <w:rsid w:val="005A00D3"/>
    <w:rsid w:val="005A1053"/>
    <w:rsid w:val="005A20EA"/>
    <w:rsid w:val="005A246B"/>
    <w:rsid w:val="005A4F22"/>
    <w:rsid w:val="005A5F6A"/>
    <w:rsid w:val="005A6040"/>
    <w:rsid w:val="005A735C"/>
    <w:rsid w:val="005B114C"/>
    <w:rsid w:val="005B11FE"/>
    <w:rsid w:val="005B1867"/>
    <w:rsid w:val="005B1CF7"/>
    <w:rsid w:val="005B1D91"/>
    <w:rsid w:val="005B1E9B"/>
    <w:rsid w:val="005B211F"/>
    <w:rsid w:val="005B4DE5"/>
    <w:rsid w:val="005B4FA2"/>
    <w:rsid w:val="005B5CC8"/>
    <w:rsid w:val="005B6B1D"/>
    <w:rsid w:val="005B78A0"/>
    <w:rsid w:val="005B791B"/>
    <w:rsid w:val="005C35F1"/>
    <w:rsid w:val="005C3A86"/>
    <w:rsid w:val="005D0E9A"/>
    <w:rsid w:val="005D25E6"/>
    <w:rsid w:val="005D3A94"/>
    <w:rsid w:val="005D4258"/>
    <w:rsid w:val="005D5ADF"/>
    <w:rsid w:val="005D5CC7"/>
    <w:rsid w:val="005D655E"/>
    <w:rsid w:val="005D6A29"/>
    <w:rsid w:val="005D72B4"/>
    <w:rsid w:val="005E0122"/>
    <w:rsid w:val="005E05EA"/>
    <w:rsid w:val="005E0971"/>
    <w:rsid w:val="005E30F0"/>
    <w:rsid w:val="005E32E6"/>
    <w:rsid w:val="005E3A8F"/>
    <w:rsid w:val="005E55DA"/>
    <w:rsid w:val="005E5684"/>
    <w:rsid w:val="005F069C"/>
    <w:rsid w:val="005F1D30"/>
    <w:rsid w:val="005F4407"/>
    <w:rsid w:val="005F4F47"/>
    <w:rsid w:val="006007D1"/>
    <w:rsid w:val="00600964"/>
    <w:rsid w:val="0060145F"/>
    <w:rsid w:val="00602E83"/>
    <w:rsid w:val="006038B9"/>
    <w:rsid w:val="00604B4F"/>
    <w:rsid w:val="00604B87"/>
    <w:rsid w:val="00605459"/>
    <w:rsid w:val="00605967"/>
    <w:rsid w:val="006067FD"/>
    <w:rsid w:val="00606F4C"/>
    <w:rsid w:val="006073EB"/>
    <w:rsid w:val="006105C6"/>
    <w:rsid w:val="00611166"/>
    <w:rsid w:val="00612B35"/>
    <w:rsid w:val="006133BC"/>
    <w:rsid w:val="00620B5D"/>
    <w:rsid w:val="006226A5"/>
    <w:rsid w:val="00622CA5"/>
    <w:rsid w:val="00623028"/>
    <w:rsid w:val="006231CD"/>
    <w:rsid w:val="006232EB"/>
    <w:rsid w:val="006233D3"/>
    <w:rsid w:val="0062385D"/>
    <w:rsid w:val="00623D29"/>
    <w:rsid w:val="006244F4"/>
    <w:rsid w:val="0062599C"/>
    <w:rsid w:val="00627ECE"/>
    <w:rsid w:val="0063065F"/>
    <w:rsid w:val="00630806"/>
    <w:rsid w:val="00631819"/>
    <w:rsid w:val="006336E0"/>
    <w:rsid w:val="006346A5"/>
    <w:rsid w:val="006350EE"/>
    <w:rsid w:val="006357D8"/>
    <w:rsid w:val="00635950"/>
    <w:rsid w:val="00635F63"/>
    <w:rsid w:val="00636172"/>
    <w:rsid w:val="00637D08"/>
    <w:rsid w:val="006401DB"/>
    <w:rsid w:val="00642308"/>
    <w:rsid w:val="00642776"/>
    <w:rsid w:val="00644748"/>
    <w:rsid w:val="00647A93"/>
    <w:rsid w:val="00651C49"/>
    <w:rsid w:val="00652CE0"/>
    <w:rsid w:val="00653488"/>
    <w:rsid w:val="0065547F"/>
    <w:rsid w:val="00655EA1"/>
    <w:rsid w:val="00656077"/>
    <w:rsid w:val="006571E2"/>
    <w:rsid w:val="006571F2"/>
    <w:rsid w:val="00660524"/>
    <w:rsid w:val="0066108B"/>
    <w:rsid w:val="006611E4"/>
    <w:rsid w:val="0066158E"/>
    <w:rsid w:val="0066288C"/>
    <w:rsid w:val="00662DBF"/>
    <w:rsid w:val="00663765"/>
    <w:rsid w:val="00664706"/>
    <w:rsid w:val="00664CEC"/>
    <w:rsid w:val="006674B9"/>
    <w:rsid w:val="00667B44"/>
    <w:rsid w:val="006710F8"/>
    <w:rsid w:val="00672E71"/>
    <w:rsid w:val="00673074"/>
    <w:rsid w:val="006733D1"/>
    <w:rsid w:val="006749B4"/>
    <w:rsid w:val="00675703"/>
    <w:rsid w:val="00677FD2"/>
    <w:rsid w:val="00680B59"/>
    <w:rsid w:val="00680DE6"/>
    <w:rsid w:val="00681B79"/>
    <w:rsid w:val="006824DA"/>
    <w:rsid w:val="006824FD"/>
    <w:rsid w:val="00683BF8"/>
    <w:rsid w:val="00691575"/>
    <w:rsid w:val="006916FD"/>
    <w:rsid w:val="00691B2F"/>
    <w:rsid w:val="00691CD8"/>
    <w:rsid w:val="006935B7"/>
    <w:rsid w:val="00693D8F"/>
    <w:rsid w:val="006957D8"/>
    <w:rsid w:val="0069798F"/>
    <w:rsid w:val="00697B1B"/>
    <w:rsid w:val="006A0E0C"/>
    <w:rsid w:val="006A106C"/>
    <w:rsid w:val="006A3336"/>
    <w:rsid w:val="006A431E"/>
    <w:rsid w:val="006A4EBA"/>
    <w:rsid w:val="006A7C54"/>
    <w:rsid w:val="006B28D3"/>
    <w:rsid w:val="006B38DF"/>
    <w:rsid w:val="006B5353"/>
    <w:rsid w:val="006B57A7"/>
    <w:rsid w:val="006B5AEC"/>
    <w:rsid w:val="006C122F"/>
    <w:rsid w:val="006C3133"/>
    <w:rsid w:val="006C33A1"/>
    <w:rsid w:val="006C42F7"/>
    <w:rsid w:val="006C67D5"/>
    <w:rsid w:val="006C7145"/>
    <w:rsid w:val="006D0C32"/>
    <w:rsid w:val="006D11EF"/>
    <w:rsid w:val="006D162C"/>
    <w:rsid w:val="006D2556"/>
    <w:rsid w:val="006D25E4"/>
    <w:rsid w:val="006D260A"/>
    <w:rsid w:val="006D332A"/>
    <w:rsid w:val="006D4442"/>
    <w:rsid w:val="006D4D30"/>
    <w:rsid w:val="006D5009"/>
    <w:rsid w:val="006D5600"/>
    <w:rsid w:val="006D59F7"/>
    <w:rsid w:val="006D5D42"/>
    <w:rsid w:val="006D6625"/>
    <w:rsid w:val="006D6DF3"/>
    <w:rsid w:val="006D7ED0"/>
    <w:rsid w:val="006E1FD4"/>
    <w:rsid w:val="006E31BB"/>
    <w:rsid w:val="006E4EEF"/>
    <w:rsid w:val="006E67F2"/>
    <w:rsid w:val="006E79A6"/>
    <w:rsid w:val="006F0073"/>
    <w:rsid w:val="006F1069"/>
    <w:rsid w:val="006F2490"/>
    <w:rsid w:val="006F2611"/>
    <w:rsid w:val="006F7D96"/>
    <w:rsid w:val="007011A1"/>
    <w:rsid w:val="00703469"/>
    <w:rsid w:val="007045A0"/>
    <w:rsid w:val="007072CA"/>
    <w:rsid w:val="00710428"/>
    <w:rsid w:val="0071131A"/>
    <w:rsid w:val="007113B2"/>
    <w:rsid w:val="0071158B"/>
    <w:rsid w:val="00715599"/>
    <w:rsid w:val="00715956"/>
    <w:rsid w:val="00715D9B"/>
    <w:rsid w:val="00715ED9"/>
    <w:rsid w:val="0071669A"/>
    <w:rsid w:val="00717698"/>
    <w:rsid w:val="00721449"/>
    <w:rsid w:val="00721A72"/>
    <w:rsid w:val="00725422"/>
    <w:rsid w:val="00727A65"/>
    <w:rsid w:val="00730852"/>
    <w:rsid w:val="007313BC"/>
    <w:rsid w:val="00731EDD"/>
    <w:rsid w:val="00732110"/>
    <w:rsid w:val="00732F16"/>
    <w:rsid w:val="0073372F"/>
    <w:rsid w:val="00734F9C"/>
    <w:rsid w:val="00735578"/>
    <w:rsid w:val="007358E4"/>
    <w:rsid w:val="007359A5"/>
    <w:rsid w:val="00736A26"/>
    <w:rsid w:val="0074010A"/>
    <w:rsid w:val="00740A5D"/>
    <w:rsid w:val="0074285D"/>
    <w:rsid w:val="00743594"/>
    <w:rsid w:val="00743D85"/>
    <w:rsid w:val="00744983"/>
    <w:rsid w:val="007451E7"/>
    <w:rsid w:val="00745404"/>
    <w:rsid w:val="00745949"/>
    <w:rsid w:val="00750C7A"/>
    <w:rsid w:val="00752A2C"/>
    <w:rsid w:val="00754A36"/>
    <w:rsid w:val="00757799"/>
    <w:rsid w:val="007604CC"/>
    <w:rsid w:val="007611E6"/>
    <w:rsid w:val="00762ADC"/>
    <w:rsid w:val="00763EC2"/>
    <w:rsid w:val="00764B8A"/>
    <w:rsid w:val="00764DDD"/>
    <w:rsid w:val="007659F2"/>
    <w:rsid w:val="00765C58"/>
    <w:rsid w:val="0076648C"/>
    <w:rsid w:val="007732AB"/>
    <w:rsid w:val="0077353F"/>
    <w:rsid w:val="00773F65"/>
    <w:rsid w:val="00775D14"/>
    <w:rsid w:val="00775D7E"/>
    <w:rsid w:val="00782123"/>
    <w:rsid w:val="0078279A"/>
    <w:rsid w:val="007833B4"/>
    <w:rsid w:val="00783495"/>
    <w:rsid w:val="00783CC1"/>
    <w:rsid w:val="00786012"/>
    <w:rsid w:val="0078635E"/>
    <w:rsid w:val="00786588"/>
    <w:rsid w:val="007865A6"/>
    <w:rsid w:val="007869BB"/>
    <w:rsid w:val="00790EF2"/>
    <w:rsid w:val="0079353C"/>
    <w:rsid w:val="00794444"/>
    <w:rsid w:val="00794BF2"/>
    <w:rsid w:val="007950B1"/>
    <w:rsid w:val="007951BB"/>
    <w:rsid w:val="00795253"/>
    <w:rsid w:val="007959BC"/>
    <w:rsid w:val="007A35EC"/>
    <w:rsid w:val="007A3760"/>
    <w:rsid w:val="007A4DAD"/>
    <w:rsid w:val="007A638D"/>
    <w:rsid w:val="007A6DD3"/>
    <w:rsid w:val="007B0446"/>
    <w:rsid w:val="007B0832"/>
    <w:rsid w:val="007B20F4"/>
    <w:rsid w:val="007B2FE6"/>
    <w:rsid w:val="007B322F"/>
    <w:rsid w:val="007B3B2A"/>
    <w:rsid w:val="007B5426"/>
    <w:rsid w:val="007B6447"/>
    <w:rsid w:val="007B6559"/>
    <w:rsid w:val="007B778C"/>
    <w:rsid w:val="007B7CDE"/>
    <w:rsid w:val="007C2C31"/>
    <w:rsid w:val="007C3B99"/>
    <w:rsid w:val="007C5F4A"/>
    <w:rsid w:val="007C6203"/>
    <w:rsid w:val="007C6493"/>
    <w:rsid w:val="007D0685"/>
    <w:rsid w:val="007D1A52"/>
    <w:rsid w:val="007D1CC9"/>
    <w:rsid w:val="007D30E7"/>
    <w:rsid w:val="007D4CB8"/>
    <w:rsid w:val="007D70F5"/>
    <w:rsid w:val="007D7A6C"/>
    <w:rsid w:val="007E0965"/>
    <w:rsid w:val="007E0C0A"/>
    <w:rsid w:val="007E5474"/>
    <w:rsid w:val="007E6618"/>
    <w:rsid w:val="007E7EA0"/>
    <w:rsid w:val="007F1ACD"/>
    <w:rsid w:val="007F3062"/>
    <w:rsid w:val="007F395B"/>
    <w:rsid w:val="007F453E"/>
    <w:rsid w:val="007F4697"/>
    <w:rsid w:val="007F4CFA"/>
    <w:rsid w:val="007F4F85"/>
    <w:rsid w:val="007F522B"/>
    <w:rsid w:val="007F5A4C"/>
    <w:rsid w:val="007F5A76"/>
    <w:rsid w:val="007F6904"/>
    <w:rsid w:val="007F7D69"/>
    <w:rsid w:val="007F7EE4"/>
    <w:rsid w:val="00802D1A"/>
    <w:rsid w:val="008033AB"/>
    <w:rsid w:val="00804527"/>
    <w:rsid w:val="0080507D"/>
    <w:rsid w:val="0080577C"/>
    <w:rsid w:val="00805E47"/>
    <w:rsid w:val="00806CE6"/>
    <w:rsid w:val="00810FA1"/>
    <w:rsid w:val="00812768"/>
    <w:rsid w:val="00813B96"/>
    <w:rsid w:val="00815C25"/>
    <w:rsid w:val="00815EC7"/>
    <w:rsid w:val="00817CEB"/>
    <w:rsid w:val="0082029E"/>
    <w:rsid w:val="00821984"/>
    <w:rsid w:val="00822099"/>
    <w:rsid w:val="00822144"/>
    <w:rsid w:val="0082230E"/>
    <w:rsid w:val="0082367D"/>
    <w:rsid w:val="00825D1F"/>
    <w:rsid w:val="0082679D"/>
    <w:rsid w:val="00830492"/>
    <w:rsid w:val="00830DED"/>
    <w:rsid w:val="008408D8"/>
    <w:rsid w:val="0084171E"/>
    <w:rsid w:val="008420C3"/>
    <w:rsid w:val="00842A8A"/>
    <w:rsid w:val="00843307"/>
    <w:rsid w:val="008446FC"/>
    <w:rsid w:val="00845C81"/>
    <w:rsid w:val="0084609C"/>
    <w:rsid w:val="008461C9"/>
    <w:rsid w:val="008501AE"/>
    <w:rsid w:val="00851AD8"/>
    <w:rsid w:val="00852174"/>
    <w:rsid w:val="008546FC"/>
    <w:rsid w:val="008552FC"/>
    <w:rsid w:val="00855359"/>
    <w:rsid w:val="00855D40"/>
    <w:rsid w:val="0085618F"/>
    <w:rsid w:val="008566AF"/>
    <w:rsid w:val="00856802"/>
    <w:rsid w:val="00857536"/>
    <w:rsid w:val="008575E6"/>
    <w:rsid w:val="00860527"/>
    <w:rsid w:val="008609AB"/>
    <w:rsid w:val="00860D5B"/>
    <w:rsid w:val="00862000"/>
    <w:rsid w:val="008620DB"/>
    <w:rsid w:val="0086345E"/>
    <w:rsid w:val="00863460"/>
    <w:rsid w:val="0086375C"/>
    <w:rsid w:val="00865748"/>
    <w:rsid w:val="00867DE5"/>
    <w:rsid w:val="00871764"/>
    <w:rsid w:val="0087351F"/>
    <w:rsid w:val="008748D7"/>
    <w:rsid w:val="00877838"/>
    <w:rsid w:val="00880880"/>
    <w:rsid w:val="00880FF9"/>
    <w:rsid w:val="0088163F"/>
    <w:rsid w:val="00882B17"/>
    <w:rsid w:val="00882BF1"/>
    <w:rsid w:val="00883787"/>
    <w:rsid w:val="008839FA"/>
    <w:rsid w:val="008841A6"/>
    <w:rsid w:val="00885E78"/>
    <w:rsid w:val="008860AD"/>
    <w:rsid w:val="00887025"/>
    <w:rsid w:val="00890300"/>
    <w:rsid w:val="0089106A"/>
    <w:rsid w:val="008912C6"/>
    <w:rsid w:val="0089175B"/>
    <w:rsid w:val="00891B44"/>
    <w:rsid w:val="0089524C"/>
    <w:rsid w:val="00896839"/>
    <w:rsid w:val="00896E07"/>
    <w:rsid w:val="00896FC8"/>
    <w:rsid w:val="00897331"/>
    <w:rsid w:val="00897E33"/>
    <w:rsid w:val="008A4092"/>
    <w:rsid w:val="008A58F2"/>
    <w:rsid w:val="008A6D44"/>
    <w:rsid w:val="008A765A"/>
    <w:rsid w:val="008B0114"/>
    <w:rsid w:val="008B046D"/>
    <w:rsid w:val="008B13EB"/>
    <w:rsid w:val="008B2E71"/>
    <w:rsid w:val="008B2EF1"/>
    <w:rsid w:val="008B32B7"/>
    <w:rsid w:val="008B331A"/>
    <w:rsid w:val="008B4E77"/>
    <w:rsid w:val="008B597B"/>
    <w:rsid w:val="008B6F13"/>
    <w:rsid w:val="008C0769"/>
    <w:rsid w:val="008C19E8"/>
    <w:rsid w:val="008C1A53"/>
    <w:rsid w:val="008C683B"/>
    <w:rsid w:val="008D1CD3"/>
    <w:rsid w:val="008D3287"/>
    <w:rsid w:val="008D345A"/>
    <w:rsid w:val="008D3FFF"/>
    <w:rsid w:val="008D43E8"/>
    <w:rsid w:val="008D7BBF"/>
    <w:rsid w:val="008D7C56"/>
    <w:rsid w:val="008E1282"/>
    <w:rsid w:val="008E1C0E"/>
    <w:rsid w:val="008E24CC"/>
    <w:rsid w:val="008E2C4A"/>
    <w:rsid w:val="008E2CA8"/>
    <w:rsid w:val="008E425A"/>
    <w:rsid w:val="008E456E"/>
    <w:rsid w:val="008E498E"/>
    <w:rsid w:val="008E4A2C"/>
    <w:rsid w:val="008E63B4"/>
    <w:rsid w:val="008E6CF3"/>
    <w:rsid w:val="008E75DD"/>
    <w:rsid w:val="008E7E1C"/>
    <w:rsid w:val="008F23E4"/>
    <w:rsid w:val="008F2E9D"/>
    <w:rsid w:val="008F3369"/>
    <w:rsid w:val="008F7D14"/>
    <w:rsid w:val="008F7D69"/>
    <w:rsid w:val="008F7F31"/>
    <w:rsid w:val="00900B53"/>
    <w:rsid w:val="00901855"/>
    <w:rsid w:val="00903966"/>
    <w:rsid w:val="00903FDA"/>
    <w:rsid w:val="00904145"/>
    <w:rsid w:val="00906787"/>
    <w:rsid w:val="0090751A"/>
    <w:rsid w:val="009078F4"/>
    <w:rsid w:val="00907B7A"/>
    <w:rsid w:val="00907D27"/>
    <w:rsid w:val="0091047E"/>
    <w:rsid w:val="009105CF"/>
    <w:rsid w:val="00911856"/>
    <w:rsid w:val="00914AB8"/>
    <w:rsid w:val="00916489"/>
    <w:rsid w:val="0091738C"/>
    <w:rsid w:val="00917F61"/>
    <w:rsid w:val="0092097F"/>
    <w:rsid w:val="00920BEA"/>
    <w:rsid w:val="0092187F"/>
    <w:rsid w:val="0092214D"/>
    <w:rsid w:val="00922214"/>
    <w:rsid w:val="0092345C"/>
    <w:rsid w:val="00927616"/>
    <w:rsid w:val="00927AE0"/>
    <w:rsid w:val="00927D17"/>
    <w:rsid w:val="0093036D"/>
    <w:rsid w:val="00933A85"/>
    <w:rsid w:val="00934468"/>
    <w:rsid w:val="00940343"/>
    <w:rsid w:val="0094305B"/>
    <w:rsid w:val="00943670"/>
    <w:rsid w:val="00945DC6"/>
    <w:rsid w:val="00945FEA"/>
    <w:rsid w:val="00946213"/>
    <w:rsid w:val="00946427"/>
    <w:rsid w:val="00946B8F"/>
    <w:rsid w:val="00947CD7"/>
    <w:rsid w:val="00950606"/>
    <w:rsid w:val="00951E0D"/>
    <w:rsid w:val="009522D0"/>
    <w:rsid w:val="009524BE"/>
    <w:rsid w:val="00952579"/>
    <w:rsid w:val="00953723"/>
    <w:rsid w:val="0095546F"/>
    <w:rsid w:val="009569E5"/>
    <w:rsid w:val="00957C9D"/>
    <w:rsid w:val="0096078E"/>
    <w:rsid w:val="00965145"/>
    <w:rsid w:val="00966658"/>
    <w:rsid w:val="00966823"/>
    <w:rsid w:val="009674D3"/>
    <w:rsid w:val="00970B67"/>
    <w:rsid w:val="0097179F"/>
    <w:rsid w:val="00971859"/>
    <w:rsid w:val="00972004"/>
    <w:rsid w:val="00973139"/>
    <w:rsid w:val="009734AA"/>
    <w:rsid w:val="009734B4"/>
    <w:rsid w:val="00973D3D"/>
    <w:rsid w:val="00974B59"/>
    <w:rsid w:val="00975753"/>
    <w:rsid w:val="00976287"/>
    <w:rsid w:val="009762D7"/>
    <w:rsid w:val="00980A48"/>
    <w:rsid w:val="00981254"/>
    <w:rsid w:val="00981D4E"/>
    <w:rsid w:val="0098363A"/>
    <w:rsid w:val="0098367E"/>
    <w:rsid w:val="009841E8"/>
    <w:rsid w:val="00985A9F"/>
    <w:rsid w:val="00986035"/>
    <w:rsid w:val="00986205"/>
    <w:rsid w:val="009866E1"/>
    <w:rsid w:val="0098732B"/>
    <w:rsid w:val="00987B6D"/>
    <w:rsid w:val="009905C8"/>
    <w:rsid w:val="00990BB9"/>
    <w:rsid w:val="009917E2"/>
    <w:rsid w:val="00992E12"/>
    <w:rsid w:val="009939E9"/>
    <w:rsid w:val="009946C0"/>
    <w:rsid w:val="00996B79"/>
    <w:rsid w:val="00996FBC"/>
    <w:rsid w:val="00997FE0"/>
    <w:rsid w:val="009A12EB"/>
    <w:rsid w:val="009A1604"/>
    <w:rsid w:val="009A1889"/>
    <w:rsid w:val="009A1940"/>
    <w:rsid w:val="009A214B"/>
    <w:rsid w:val="009A2D0F"/>
    <w:rsid w:val="009A2FA3"/>
    <w:rsid w:val="009A4F22"/>
    <w:rsid w:val="009A73D8"/>
    <w:rsid w:val="009A7936"/>
    <w:rsid w:val="009B0172"/>
    <w:rsid w:val="009B01F3"/>
    <w:rsid w:val="009B1548"/>
    <w:rsid w:val="009B27D6"/>
    <w:rsid w:val="009B297D"/>
    <w:rsid w:val="009B46FF"/>
    <w:rsid w:val="009B517D"/>
    <w:rsid w:val="009B57FE"/>
    <w:rsid w:val="009B6FBE"/>
    <w:rsid w:val="009C12AB"/>
    <w:rsid w:val="009C19EC"/>
    <w:rsid w:val="009C3487"/>
    <w:rsid w:val="009C42CA"/>
    <w:rsid w:val="009C48B3"/>
    <w:rsid w:val="009C49E7"/>
    <w:rsid w:val="009C4A6C"/>
    <w:rsid w:val="009C7708"/>
    <w:rsid w:val="009C7911"/>
    <w:rsid w:val="009D0B94"/>
    <w:rsid w:val="009D0E66"/>
    <w:rsid w:val="009D2A5F"/>
    <w:rsid w:val="009D339E"/>
    <w:rsid w:val="009D3B16"/>
    <w:rsid w:val="009D3C71"/>
    <w:rsid w:val="009D6516"/>
    <w:rsid w:val="009D6888"/>
    <w:rsid w:val="009D75C9"/>
    <w:rsid w:val="009E1544"/>
    <w:rsid w:val="009E17C7"/>
    <w:rsid w:val="009E20CC"/>
    <w:rsid w:val="009E2565"/>
    <w:rsid w:val="009E2674"/>
    <w:rsid w:val="009E3664"/>
    <w:rsid w:val="009E46AB"/>
    <w:rsid w:val="009E67D7"/>
    <w:rsid w:val="009E7205"/>
    <w:rsid w:val="009F1564"/>
    <w:rsid w:val="009F3D49"/>
    <w:rsid w:val="009F4B56"/>
    <w:rsid w:val="009F5C99"/>
    <w:rsid w:val="009F6ADF"/>
    <w:rsid w:val="00A003EE"/>
    <w:rsid w:val="00A024BF"/>
    <w:rsid w:val="00A0563E"/>
    <w:rsid w:val="00A05C6E"/>
    <w:rsid w:val="00A06B3D"/>
    <w:rsid w:val="00A06C53"/>
    <w:rsid w:val="00A07242"/>
    <w:rsid w:val="00A0742D"/>
    <w:rsid w:val="00A07EE3"/>
    <w:rsid w:val="00A12D18"/>
    <w:rsid w:val="00A16841"/>
    <w:rsid w:val="00A17A2A"/>
    <w:rsid w:val="00A20765"/>
    <w:rsid w:val="00A20DFE"/>
    <w:rsid w:val="00A217DE"/>
    <w:rsid w:val="00A24706"/>
    <w:rsid w:val="00A25DEE"/>
    <w:rsid w:val="00A260A8"/>
    <w:rsid w:val="00A27341"/>
    <w:rsid w:val="00A27D87"/>
    <w:rsid w:val="00A30B8D"/>
    <w:rsid w:val="00A31EEB"/>
    <w:rsid w:val="00A33845"/>
    <w:rsid w:val="00A352C4"/>
    <w:rsid w:val="00A37BD7"/>
    <w:rsid w:val="00A4156D"/>
    <w:rsid w:val="00A41839"/>
    <w:rsid w:val="00A45141"/>
    <w:rsid w:val="00A4652C"/>
    <w:rsid w:val="00A46E82"/>
    <w:rsid w:val="00A46FAE"/>
    <w:rsid w:val="00A47F26"/>
    <w:rsid w:val="00A52664"/>
    <w:rsid w:val="00A5266E"/>
    <w:rsid w:val="00A52B56"/>
    <w:rsid w:val="00A54A3C"/>
    <w:rsid w:val="00A5595A"/>
    <w:rsid w:val="00A56D6D"/>
    <w:rsid w:val="00A570AB"/>
    <w:rsid w:val="00A60386"/>
    <w:rsid w:val="00A61141"/>
    <w:rsid w:val="00A615EF"/>
    <w:rsid w:val="00A61615"/>
    <w:rsid w:val="00A61FF5"/>
    <w:rsid w:val="00A63726"/>
    <w:rsid w:val="00A63FFF"/>
    <w:rsid w:val="00A658E0"/>
    <w:rsid w:val="00A65C2D"/>
    <w:rsid w:val="00A665CE"/>
    <w:rsid w:val="00A66C47"/>
    <w:rsid w:val="00A67A51"/>
    <w:rsid w:val="00A71A77"/>
    <w:rsid w:val="00A72246"/>
    <w:rsid w:val="00A7397C"/>
    <w:rsid w:val="00A7600A"/>
    <w:rsid w:val="00A76A3D"/>
    <w:rsid w:val="00A7734A"/>
    <w:rsid w:val="00A80842"/>
    <w:rsid w:val="00A81BF3"/>
    <w:rsid w:val="00A82020"/>
    <w:rsid w:val="00A83178"/>
    <w:rsid w:val="00A87BF6"/>
    <w:rsid w:val="00A90C40"/>
    <w:rsid w:val="00A92C4E"/>
    <w:rsid w:val="00A95210"/>
    <w:rsid w:val="00A95456"/>
    <w:rsid w:val="00A96EEF"/>
    <w:rsid w:val="00A97357"/>
    <w:rsid w:val="00AA051F"/>
    <w:rsid w:val="00AA1450"/>
    <w:rsid w:val="00AB2064"/>
    <w:rsid w:val="00AB31AB"/>
    <w:rsid w:val="00AB335C"/>
    <w:rsid w:val="00AB4A54"/>
    <w:rsid w:val="00AB5094"/>
    <w:rsid w:val="00AB61FF"/>
    <w:rsid w:val="00AB6982"/>
    <w:rsid w:val="00AB6F4C"/>
    <w:rsid w:val="00AB7B9E"/>
    <w:rsid w:val="00AC0065"/>
    <w:rsid w:val="00AC0580"/>
    <w:rsid w:val="00AC14A1"/>
    <w:rsid w:val="00AC14F5"/>
    <w:rsid w:val="00AC2585"/>
    <w:rsid w:val="00AC2B95"/>
    <w:rsid w:val="00AC3E4F"/>
    <w:rsid w:val="00AC4ECF"/>
    <w:rsid w:val="00AC514A"/>
    <w:rsid w:val="00AC5CC9"/>
    <w:rsid w:val="00AC6223"/>
    <w:rsid w:val="00AC6FE6"/>
    <w:rsid w:val="00AD32E1"/>
    <w:rsid w:val="00AD44BC"/>
    <w:rsid w:val="00AD670D"/>
    <w:rsid w:val="00AD75A2"/>
    <w:rsid w:val="00AE13AC"/>
    <w:rsid w:val="00AE2415"/>
    <w:rsid w:val="00AE33EF"/>
    <w:rsid w:val="00AE3C88"/>
    <w:rsid w:val="00AE5D5A"/>
    <w:rsid w:val="00AE6DAC"/>
    <w:rsid w:val="00AE7B03"/>
    <w:rsid w:val="00AF0D14"/>
    <w:rsid w:val="00AF1C21"/>
    <w:rsid w:val="00AF52F0"/>
    <w:rsid w:val="00AF54DF"/>
    <w:rsid w:val="00AF5F46"/>
    <w:rsid w:val="00B0027E"/>
    <w:rsid w:val="00B006EF"/>
    <w:rsid w:val="00B00D8B"/>
    <w:rsid w:val="00B01787"/>
    <w:rsid w:val="00B01B25"/>
    <w:rsid w:val="00B02AD9"/>
    <w:rsid w:val="00B03241"/>
    <w:rsid w:val="00B03582"/>
    <w:rsid w:val="00B05032"/>
    <w:rsid w:val="00B06F66"/>
    <w:rsid w:val="00B10A7A"/>
    <w:rsid w:val="00B119AB"/>
    <w:rsid w:val="00B11DEB"/>
    <w:rsid w:val="00B12217"/>
    <w:rsid w:val="00B21BB6"/>
    <w:rsid w:val="00B22A02"/>
    <w:rsid w:val="00B23C71"/>
    <w:rsid w:val="00B304E7"/>
    <w:rsid w:val="00B31A6A"/>
    <w:rsid w:val="00B3265A"/>
    <w:rsid w:val="00B336AB"/>
    <w:rsid w:val="00B34CCF"/>
    <w:rsid w:val="00B34F67"/>
    <w:rsid w:val="00B35593"/>
    <w:rsid w:val="00B35A87"/>
    <w:rsid w:val="00B36B26"/>
    <w:rsid w:val="00B37339"/>
    <w:rsid w:val="00B40795"/>
    <w:rsid w:val="00B429E7"/>
    <w:rsid w:val="00B43040"/>
    <w:rsid w:val="00B44388"/>
    <w:rsid w:val="00B44CAC"/>
    <w:rsid w:val="00B450C4"/>
    <w:rsid w:val="00B46006"/>
    <w:rsid w:val="00B471F0"/>
    <w:rsid w:val="00B4758E"/>
    <w:rsid w:val="00B51330"/>
    <w:rsid w:val="00B51B79"/>
    <w:rsid w:val="00B51EFD"/>
    <w:rsid w:val="00B52F00"/>
    <w:rsid w:val="00B54E49"/>
    <w:rsid w:val="00B5623C"/>
    <w:rsid w:val="00B57160"/>
    <w:rsid w:val="00B574C9"/>
    <w:rsid w:val="00B605B8"/>
    <w:rsid w:val="00B60A4C"/>
    <w:rsid w:val="00B60C5B"/>
    <w:rsid w:val="00B60CA8"/>
    <w:rsid w:val="00B630D5"/>
    <w:rsid w:val="00B63A1E"/>
    <w:rsid w:val="00B641AA"/>
    <w:rsid w:val="00B6434A"/>
    <w:rsid w:val="00B65093"/>
    <w:rsid w:val="00B65ABB"/>
    <w:rsid w:val="00B704E4"/>
    <w:rsid w:val="00B7242F"/>
    <w:rsid w:val="00B74C9A"/>
    <w:rsid w:val="00B7545D"/>
    <w:rsid w:val="00B772B6"/>
    <w:rsid w:val="00B77C48"/>
    <w:rsid w:val="00B818DF"/>
    <w:rsid w:val="00B824D5"/>
    <w:rsid w:val="00B82D18"/>
    <w:rsid w:val="00B83E9A"/>
    <w:rsid w:val="00B86824"/>
    <w:rsid w:val="00B86E04"/>
    <w:rsid w:val="00B92512"/>
    <w:rsid w:val="00B92805"/>
    <w:rsid w:val="00B93D36"/>
    <w:rsid w:val="00B96295"/>
    <w:rsid w:val="00B97F6B"/>
    <w:rsid w:val="00BA0570"/>
    <w:rsid w:val="00BA2BD9"/>
    <w:rsid w:val="00BA2E81"/>
    <w:rsid w:val="00BA40A7"/>
    <w:rsid w:val="00BA4790"/>
    <w:rsid w:val="00BA54E3"/>
    <w:rsid w:val="00BA6CC9"/>
    <w:rsid w:val="00BB059A"/>
    <w:rsid w:val="00BB1262"/>
    <w:rsid w:val="00BB16A7"/>
    <w:rsid w:val="00BB25EF"/>
    <w:rsid w:val="00BB2697"/>
    <w:rsid w:val="00BB3335"/>
    <w:rsid w:val="00BB5B06"/>
    <w:rsid w:val="00BC01C9"/>
    <w:rsid w:val="00BC06D1"/>
    <w:rsid w:val="00BC158F"/>
    <w:rsid w:val="00BC197D"/>
    <w:rsid w:val="00BC1BF3"/>
    <w:rsid w:val="00BC2EB4"/>
    <w:rsid w:val="00BC3CB3"/>
    <w:rsid w:val="00BC597D"/>
    <w:rsid w:val="00BC66FA"/>
    <w:rsid w:val="00BD01A5"/>
    <w:rsid w:val="00BD05FB"/>
    <w:rsid w:val="00BD098C"/>
    <w:rsid w:val="00BD1C81"/>
    <w:rsid w:val="00BD3453"/>
    <w:rsid w:val="00BD378C"/>
    <w:rsid w:val="00BD4A98"/>
    <w:rsid w:val="00BD5D47"/>
    <w:rsid w:val="00BD5E26"/>
    <w:rsid w:val="00BD6A98"/>
    <w:rsid w:val="00BD6EE1"/>
    <w:rsid w:val="00BE192D"/>
    <w:rsid w:val="00BE4897"/>
    <w:rsid w:val="00BE534A"/>
    <w:rsid w:val="00BE5E5C"/>
    <w:rsid w:val="00BE6A5B"/>
    <w:rsid w:val="00BE7580"/>
    <w:rsid w:val="00BE7FCD"/>
    <w:rsid w:val="00BF0AF0"/>
    <w:rsid w:val="00BF2556"/>
    <w:rsid w:val="00BF2A0A"/>
    <w:rsid w:val="00BF2C13"/>
    <w:rsid w:val="00BF3F2E"/>
    <w:rsid w:val="00BF62E1"/>
    <w:rsid w:val="00BF7FB9"/>
    <w:rsid w:val="00C01DA9"/>
    <w:rsid w:val="00C03003"/>
    <w:rsid w:val="00C03653"/>
    <w:rsid w:val="00C036F3"/>
    <w:rsid w:val="00C05EDF"/>
    <w:rsid w:val="00C06A5E"/>
    <w:rsid w:val="00C07A2F"/>
    <w:rsid w:val="00C16901"/>
    <w:rsid w:val="00C1693E"/>
    <w:rsid w:val="00C17FE1"/>
    <w:rsid w:val="00C215F2"/>
    <w:rsid w:val="00C22225"/>
    <w:rsid w:val="00C23C72"/>
    <w:rsid w:val="00C250C8"/>
    <w:rsid w:val="00C2553B"/>
    <w:rsid w:val="00C25A51"/>
    <w:rsid w:val="00C26091"/>
    <w:rsid w:val="00C26610"/>
    <w:rsid w:val="00C30695"/>
    <w:rsid w:val="00C307CA"/>
    <w:rsid w:val="00C307F7"/>
    <w:rsid w:val="00C3244C"/>
    <w:rsid w:val="00C343B6"/>
    <w:rsid w:val="00C345D2"/>
    <w:rsid w:val="00C35A9D"/>
    <w:rsid w:val="00C362CA"/>
    <w:rsid w:val="00C3797B"/>
    <w:rsid w:val="00C40575"/>
    <w:rsid w:val="00C42B36"/>
    <w:rsid w:val="00C43C41"/>
    <w:rsid w:val="00C43C9C"/>
    <w:rsid w:val="00C43E19"/>
    <w:rsid w:val="00C440C2"/>
    <w:rsid w:val="00C46493"/>
    <w:rsid w:val="00C4694C"/>
    <w:rsid w:val="00C471F1"/>
    <w:rsid w:val="00C47B16"/>
    <w:rsid w:val="00C5114F"/>
    <w:rsid w:val="00C5193D"/>
    <w:rsid w:val="00C51BED"/>
    <w:rsid w:val="00C51D00"/>
    <w:rsid w:val="00C51E46"/>
    <w:rsid w:val="00C5234E"/>
    <w:rsid w:val="00C5380B"/>
    <w:rsid w:val="00C53B94"/>
    <w:rsid w:val="00C55C6A"/>
    <w:rsid w:val="00C55E73"/>
    <w:rsid w:val="00C56DF1"/>
    <w:rsid w:val="00C578CB"/>
    <w:rsid w:val="00C57AEF"/>
    <w:rsid w:val="00C60F7C"/>
    <w:rsid w:val="00C6143F"/>
    <w:rsid w:val="00C6175E"/>
    <w:rsid w:val="00C61AC4"/>
    <w:rsid w:val="00C63504"/>
    <w:rsid w:val="00C6381F"/>
    <w:rsid w:val="00C640F3"/>
    <w:rsid w:val="00C658D2"/>
    <w:rsid w:val="00C65E53"/>
    <w:rsid w:val="00C66625"/>
    <w:rsid w:val="00C70C7E"/>
    <w:rsid w:val="00C71304"/>
    <w:rsid w:val="00C72CDE"/>
    <w:rsid w:val="00C73A72"/>
    <w:rsid w:val="00C7477B"/>
    <w:rsid w:val="00C75933"/>
    <w:rsid w:val="00C76979"/>
    <w:rsid w:val="00C800D6"/>
    <w:rsid w:val="00C816CB"/>
    <w:rsid w:val="00C835AF"/>
    <w:rsid w:val="00C83A0C"/>
    <w:rsid w:val="00C85D4F"/>
    <w:rsid w:val="00C87744"/>
    <w:rsid w:val="00C8783F"/>
    <w:rsid w:val="00C87BAB"/>
    <w:rsid w:val="00C90644"/>
    <w:rsid w:val="00C9206B"/>
    <w:rsid w:val="00C9280C"/>
    <w:rsid w:val="00C9313C"/>
    <w:rsid w:val="00C936F1"/>
    <w:rsid w:val="00C95444"/>
    <w:rsid w:val="00C962BB"/>
    <w:rsid w:val="00C968FC"/>
    <w:rsid w:val="00C96C15"/>
    <w:rsid w:val="00C978BC"/>
    <w:rsid w:val="00C97E95"/>
    <w:rsid w:val="00CA2475"/>
    <w:rsid w:val="00CA2F02"/>
    <w:rsid w:val="00CA318C"/>
    <w:rsid w:val="00CA372B"/>
    <w:rsid w:val="00CA5913"/>
    <w:rsid w:val="00CA5E40"/>
    <w:rsid w:val="00CA6A17"/>
    <w:rsid w:val="00CB054D"/>
    <w:rsid w:val="00CB109B"/>
    <w:rsid w:val="00CB208E"/>
    <w:rsid w:val="00CB4DD7"/>
    <w:rsid w:val="00CB572D"/>
    <w:rsid w:val="00CB78AB"/>
    <w:rsid w:val="00CB7A98"/>
    <w:rsid w:val="00CC0220"/>
    <w:rsid w:val="00CC0E05"/>
    <w:rsid w:val="00CC198D"/>
    <w:rsid w:val="00CC1AE1"/>
    <w:rsid w:val="00CC2E85"/>
    <w:rsid w:val="00CC4A5E"/>
    <w:rsid w:val="00CC4BF7"/>
    <w:rsid w:val="00CC6255"/>
    <w:rsid w:val="00CC654E"/>
    <w:rsid w:val="00CC74FE"/>
    <w:rsid w:val="00CD017F"/>
    <w:rsid w:val="00CD1142"/>
    <w:rsid w:val="00CD1E73"/>
    <w:rsid w:val="00CD1F57"/>
    <w:rsid w:val="00CD28D2"/>
    <w:rsid w:val="00CD2E53"/>
    <w:rsid w:val="00CD36E8"/>
    <w:rsid w:val="00CD507D"/>
    <w:rsid w:val="00CD5E74"/>
    <w:rsid w:val="00CD62CE"/>
    <w:rsid w:val="00CD7CBB"/>
    <w:rsid w:val="00CE08BB"/>
    <w:rsid w:val="00CE0D89"/>
    <w:rsid w:val="00CE1756"/>
    <w:rsid w:val="00CE5450"/>
    <w:rsid w:val="00CE6F35"/>
    <w:rsid w:val="00CE7AE1"/>
    <w:rsid w:val="00CF11D3"/>
    <w:rsid w:val="00CF156B"/>
    <w:rsid w:val="00CF21CB"/>
    <w:rsid w:val="00CF452A"/>
    <w:rsid w:val="00CF4A91"/>
    <w:rsid w:val="00CF5D92"/>
    <w:rsid w:val="00CF605C"/>
    <w:rsid w:val="00CF73E6"/>
    <w:rsid w:val="00CF7E89"/>
    <w:rsid w:val="00D01570"/>
    <w:rsid w:val="00D01ADD"/>
    <w:rsid w:val="00D10C74"/>
    <w:rsid w:val="00D10FFD"/>
    <w:rsid w:val="00D11B17"/>
    <w:rsid w:val="00D12AEE"/>
    <w:rsid w:val="00D16153"/>
    <w:rsid w:val="00D169E1"/>
    <w:rsid w:val="00D16F13"/>
    <w:rsid w:val="00D172BD"/>
    <w:rsid w:val="00D207E0"/>
    <w:rsid w:val="00D2127B"/>
    <w:rsid w:val="00D22099"/>
    <w:rsid w:val="00D22407"/>
    <w:rsid w:val="00D22793"/>
    <w:rsid w:val="00D2362C"/>
    <w:rsid w:val="00D242DF"/>
    <w:rsid w:val="00D24554"/>
    <w:rsid w:val="00D259C5"/>
    <w:rsid w:val="00D25FBC"/>
    <w:rsid w:val="00D2670E"/>
    <w:rsid w:val="00D269CF"/>
    <w:rsid w:val="00D2707C"/>
    <w:rsid w:val="00D301B3"/>
    <w:rsid w:val="00D30E17"/>
    <w:rsid w:val="00D31906"/>
    <w:rsid w:val="00D320B3"/>
    <w:rsid w:val="00D335F2"/>
    <w:rsid w:val="00D339E8"/>
    <w:rsid w:val="00D36B84"/>
    <w:rsid w:val="00D37A9F"/>
    <w:rsid w:val="00D4155D"/>
    <w:rsid w:val="00D43623"/>
    <w:rsid w:val="00D44163"/>
    <w:rsid w:val="00D443BE"/>
    <w:rsid w:val="00D44579"/>
    <w:rsid w:val="00D461C0"/>
    <w:rsid w:val="00D5037E"/>
    <w:rsid w:val="00D513FD"/>
    <w:rsid w:val="00D51E55"/>
    <w:rsid w:val="00D55B0D"/>
    <w:rsid w:val="00D56989"/>
    <w:rsid w:val="00D57C6C"/>
    <w:rsid w:val="00D617F1"/>
    <w:rsid w:val="00D61866"/>
    <w:rsid w:val="00D62A82"/>
    <w:rsid w:val="00D63005"/>
    <w:rsid w:val="00D64741"/>
    <w:rsid w:val="00D66531"/>
    <w:rsid w:val="00D701DE"/>
    <w:rsid w:val="00D70745"/>
    <w:rsid w:val="00D7319F"/>
    <w:rsid w:val="00D7476A"/>
    <w:rsid w:val="00D76164"/>
    <w:rsid w:val="00D82CAF"/>
    <w:rsid w:val="00D8590F"/>
    <w:rsid w:val="00D85F13"/>
    <w:rsid w:val="00D87142"/>
    <w:rsid w:val="00D91513"/>
    <w:rsid w:val="00D938FA"/>
    <w:rsid w:val="00D93C1C"/>
    <w:rsid w:val="00D965B9"/>
    <w:rsid w:val="00D96D82"/>
    <w:rsid w:val="00DA1183"/>
    <w:rsid w:val="00DA21E5"/>
    <w:rsid w:val="00DA2A3B"/>
    <w:rsid w:val="00DA34BC"/>
    <w:rsid w:val="00DA63C2"/>
    <w:rsid w:val="00DA7330"/>
    <w:rsid w:val="00DA76D0"/>
    <w:rsid w:val="00DB2B13"/>
    <w:rsid w:val="00DB6B5F"/>
    <w:rsid w:val="00DB72A6"/>
    <w:rsid w:val="00DC164E"/>
    <w:rsid w:val="00DC1823"/>
    <w:rsid w:val="00DC2AA5"/>
    <w:rsid w:val="00DC2BFE"/>
    <w:rsid w:val="00DC4861"/>
    <w:rsid w:val="00DC4986"/>
    <w:rsid w:val="00DC4EAD"/>
    <w:rsid w:val="00DC7188"/>
    <w:rsid w:val="00DD000D"/>
    <w:rsid w:val="00DD03A5"/>
    <w:rsid w:val="00DD0ABF"/>
    <w:rsid w:val="00DD1784"/>
    <w:rsid w:val="00DD3D49"/>
    <w:rsid w:val="00DD3F1E"/>
    <w:rsid w:val="00DD4E6E"/>
    <w:rsid w:val="00DD5EE6"/>
    <w:rsid w:val="00DE0AF2"/>
    <w:rsid w:val="00DE0FA8"/>
    <w:rsid w:val="00DE104F"/>
    <w:rsid w:val="00DE2512"/>
    <w:rsid w:val="00DE4437"/>
    <w:rsid w:val="00DE5EFD"/>
    <w:rsid w:val="00DF091A"/>
    <w:rsid w:val="00DF0AC5"/>
    <w:rsid w:val="00DF0B15"/>
    <w:rsid w:val="00DF0B85"/>
    <w:rsid w:val="00DF1DB0"/>
    <w:rsid w:val="00DF369D"/>
    <w:rsid w:val="00DF3C4A"/>
    <w:rsid w:val="00DF3DCA"/>
    <w:rsid w:val="00DF42A6"/>
    <w:rsid w:val="00DF5282"/>
    <w:rsid w:val="00DF542A"/>
    <w:rsid w:val="00DF5431"/>
    <w:rsid w:val="00DF7802"/>
    <w:rsid w:val="00DF7907"/>
    <w:rsid w:val="00DF7AB4"/>
    <w:rsid w:val="00E007AF"/>
    <w:rsid w:val="00E01E95"/>
    <w:rsid w:val="00E02481"/>
    <w:rsid w:val="00E058E3"/>
    <w:rsid w:val="00E05B63"/>
    <w:rsid w:val="00E05F76"/>
    <w:rsid w:val="00E074AB"/>
    <w:rsid w:val="00E101E4"/>
    <w:rsid w:val="00E108FF"/>
    <w:rsid w:val="00E11F65"/>
    <w:rsid w:val="00E1332B"/>
    <w:rsid w:val="00E14416"/>
    <w:rsid w:val="00E1549E"/>
    <w:rsid w:val="00E1564C"/>
    <w:rsid w:val="00E16C27"/>
    <w:rsid w:val="00E2196E"/>
    <w:rsid w:val="00E21E0F"/>
    <w:rsid w:val="00E22C09"/>
    <w:rsid w:val="00E25678"/>
    <w:rsid w:val="00E269DE"/>
    <w:rsid w:val="00E2793A"/>
    <w:rsid w:val="00E312D8"/>
    <w:rsid w:val="00E31D53"/>
    <w:rsid w:val="00E32E7D"/>
    <w:rsid w:val="00E34E85"/>
    <w:rsid w:val="00E3600A"/>
    <w:rsid w:val="00E3677C"/>
    <w:rsid w:val="00E36F9B"/>
    <w:rsid w:val="00E41985"/>
    <w:rsid w:val="00E41CB8"/>
    <w:rsid w:val="00E421A9"/>
    <w:rsid w:val="00E44469"/>
    <w:rsid w:val="00E457AD"/>
    <w:rsid w:val="00E45B6E"/>
    <w:rsid w:val="00E45E2B"/>
    <w:rsid w:val="00E45F4C"/>
    <w:rsid w:val="00E474C9"/>
    <w:rsid w:val="00E55041"/>
    <w:rsid w:val="00E55985"/>
    <w:rsid w:val="00E5609E"/>
    <w:rsid w:val="00E5665E"/>
    <w:rsid w:val="00E568A7"/>
    <w:rsid w:val="00E56EEF"/>
    <w:rsid w:val="00E57519"/>
    <w:rsid w:val="00E57873"/>
    <w:rsid w:val="00E60308"/>
    <w:rsid w:val="00E604D2"/>
    <w:rsid w:val="00E609B6"/>
    <w:rsid w:val="00E61C0B"/>
    <w:rsid w:val="00E620CA"/>
    <w:rsid w:val="00E63875"/>
    <w:rsid w:val="00E63BC8"/>
    <w:rsid w:val="00E63CBC"/>
    <w:rsid w:val="00E644D3"/>
    <w:rsid w:val="00E64A77"/>
    <w:rsid w:val="00E658CE"/>
    <w:rsid w:val="00E67D95"/>
    <w:rsid w:val="00E67FCD"/>
    <w:rsid w:val="00E70410"/>
    <w:rsid w:val="00E70430"/>
    <w:rsid w:val="00E705C3"/>
    <w:rsid w:val="00E72BF5"/>
    <w:rsid w:val="00E73500"/>
    <w:rsid w:val="00E73977"/>
    <w:rsid w:val="00E748B1"/>
    <w:rsid w:val="00E80089"/>
    <w:rsid w:val="00E80C9E"/>
    <w:rsid w:val="00E83065"/>
    <w:rsid w:val="00E84520"/>
    <w:rsid w:val="00E84D30"/>
    <w:rsid w:val="00E8746C"/>
    <w:rsid w:val="00E875A8"/>
    <w:rsid w:val="00E87E55"/>
    <w:rsid w:val="00E9070F"/>
    <w:rsid w:val="00E91F88"/>
    <w:rsid w:val="00E92026"/>
    <w:rsid w:val="00E92813"/>
    <w:rsid w:val="00E93677"/>
    <w:rsid w:val="00E948ED"/>
    <w:rsid w:val="00E94BD4"/>
    <w:rsid w:val="00E9571A"/>
    <w:rsid w:val="00E97BC9"/>
    <w:rsid w:val="00EA09C1"/>
    <w:rsid w:val="00EA0B23"/>
    <w:rsid w:val="00EA0E3F"/>
    <w:rsid w:val="00EA218D"/>
    <w:rsid w:val="00EA25A6"/>
    <w:rsid w:val="00EA34F2"/>
    <w:rsid w:val="00EA4D55"/>
    <w:rsid w:val="00EA5648"/>
    <w:rsid w:val="00EA69FE"/>
    <w:rsid w:val="00EA6F16"/>
    <w:rsid w:val="00EA72FF"/>
    <w:rsid w:val="00EA7FB9"/>
    <w:rsid w:val="00EB0854"/>
    <w:rsid w:val="00EB0FEA"/>
    <w:rsid w:val="00EB254C"/>
    <w:rsid w:val="00EB2F06"/>
    <w:rsid w:val="00EB36DD"/>
    <w:rsid w:val="00EB4EE5"/>
    <w:rsid w:val="00EB73B4"/>
    <w:rsid w:val="00EB7C04"/>
    <w:rsid w:val="00EC36CC"/>
    <w:rsid w:val="00EC376E"/>
    <w:rsid w:val="00EC3FC9"/>
    <w:rsid w:val="00EC4112"/>
    <w:rsid w:val="00EC512B"/>
    <w:rsid w:val="00EC722C"/>
    <w:rsid w:val="00EC7FDF"/>
    <w:rsid w:val="00ED05D4"/>
    <w:rsid w:val="00ED1F43"/>
    <w:rsid w:val="00ED29F5"/>
    <w:rsid w:val="00ED2B0F"/>
    <w:rsid w:val="00ED3846"/>
    <w:rsid w:val="00ED4544"/>
    <w:rsid w:val="00ED50E7"/>
    <w:rsid w:val="00ED59D4"/>
    <w:rsid w:val="00ED5D7F"/>
    <w:rsid w:val="00ED75A4"/>
    <w:rsid w:val="00ED75D0"/>
    <w:rsid w:val="00ED7F14"/>
    <w:rsid w:val="00EE119A"/>
    <w:rsid w:val="00EE23FF"/>
    <w:rsid w:val="00EE414D"/>
    <w:rsid w:val="00EE552F"/>
    <w:rsid w:val="00EE55E0"/>
    <w:rsid w:val="00EE58BD"/>
    <w:rsid w:val="00EE626B"/>
    <w:rsid w:val="00EE7AD9"/>
    <w:rsid w:val="00EF16BB"/>
    <w:rsid w:val="00EF2A40"/>
    <w:rsid w:val="00EF3CB8"/>
    <w:rsid w:val="00EF46E9"/>
    <w:rsid w:val="00EF4990"/>
    <w:rsid w:val="00EF4C9D"/>
    <w:rsid w:val="00EF6470"/>
    <w:rsid w:val="00EF7A31"/>
    <w:rsid w:val="00F026E2"/>
    <w:rsid w:val="00F027C2"/>
    <w:rsid w:val="00F04A79"/>
    <w:rsid w:val="00F0511B"/>
    <w:rsid w:val="00F0587F"/>
    <w:rsid w:val="00F061D4"/>
    <w:rsid w:val="00F06AF9"/>
    <w:rsid w:val="00F06D0A"/>
    <w:rsid w:val="00F06D21"/>
    <w:rsid w:val="00F10225"/>
    <w:rsid w:val="00F10518"/>
    <w:rsid w:val="00F13526"/>
    <w:rsid w:val="00F157C0"/>
    <w:rsid w:val="00F15C23"/>
    <w:rsid w:val="00F16768"/>
    <w:rsid w:val="00F2113C"/>
    <w:rsid w:val="00F211CB"/>
    <w:rsid w:val="00F22C97"/>
    <w:rsid w:val="00F2319F"/>
    <w:rsid w:val="00F23251"/>
    <w:rsid w:val="00F236BC"/>
    <w:rsid w:val="00F244C2"/>
    <w:rsid w:val="00F26493"/>
    <w:rsid w:val="00F27AF2"/>
    <w:rsid w:val="00F32117"/>
    <w:rsid w:val="00F32FDE"/>
    <w:rsid w:val="00F3365C"/>
    <w:rsid w:val="00F338D1"/>
    <w:rsid w:val="00F34121"/>
    <w:rsid w:val="00F35E96"/>
    <w:rsid w:val="00F3784A"/>
    <w:rsid w:val="00F37BB9"/>
    <w:rsid w:val="00F407B6"/>
    <w:rsid w:val="00F40E55"/>
    <w:rsid w:val="00F410F3"/>
    <w:rsid w:val="00F459E6"/>
    <w:rsid w:val="00F45EAF"/>
    <w:rsid w:val="00F5020B"/>
    <w:rsid w:val="00F52336"/>
    <w:rsid w:val="00F525A0"/>
    <w:rsid w:val="00F53DA8"/>
    <w:rsid w:val="00F53F9C"/>
    <w:rsid w:val="00F61C0B"/>
    <w:rsid w:val="00F6459B"/>
    <w:rsid w:val="00F664F0"/>
    <w:rsid w:val="00F70F08"/>
    <w:rsid w:val="00F716D2"/>
    <w:rsid w:val="00F71732"/>
    <w:rsid w:val="00F742C1"/>
    <w:rsid w:val="00F74C5D"/>
    <w:rsid w:val="00F74EBA"/>
    <w:rsid w:val="00F75B02"/>
    <w:rsid w:val="00F75B4C"/>
    <w:rsid w:val="00F80CF0"/>
    <w:rsid w:val="00F81535"/>
    <w:rsid w:val="00F81C2F"/>
    <w:rsid w:val="00F81F8A"/>
    <w:rsid w:val="00F8656D"/>
    <w:rsid w:val="00F87EBB"/>
    <w:rsid w:val="00F90140"/>
    <w:rsid w:val="00F90DC7"/>
    <w:rsid w:val="00F911A5"/>
    <w:rsid w:val="00F915E6"/>
    <w:rsid w:val="00F91EF7"/>
    <w:rsid w:val="00F931B7"/>
    <w:rsid w:val="00F937A9"/>
    <w:rsid w:val="00F93933"/>
    <w:rsid w:val="00F94626"/>
    <w:rsid w:val="00F94C60"/>
    <w:rsid w:val="00F963EE"/>
    <w:rsid w:val="00FA1D35"/>
    <w:rsid w:val="00FA2226"/>
    <w:rsid w:val="00FA2657"/>
    <w:rsid w:val="00FA2A66"/>
    <w:rsid w:val="00FA48F2"/>
    <w:rsid w:val="00FA4B7A"/>
    <w:rsid w:val="00FA5430"/>
    <w:rsid w:val="00FA624D"/>
    <w:rsid w:val="00FA7E27"/>
    <w:rsid w:val="00FA7EA2"/>
    <w:rsid w:val="00FB3DA8"/>
    <w:rsid w:val="00FB5152"/>
    <w:rsid w:val="00FB5E73"/>
    <w:rsid w:val="00FB6E5F"/>
    <w:rsid w:val="00FB722A"/>
    <w:rsid w:val="00FC09FF"/>
    <w:rsid w:val="00FC0F67"/>
    <w:rsid w:val="00FC2D4D"/>
    <w:rsid w:val="00FC2DDF"/>
    <w:rsid w:val="00FC315C"/>
    <w:rsid w:val="00FC3347"/>
    <w:rsid w:val="00FC33E8"/>
    <w:rsid w:val="00FC4D8F"/>
    <w:rsid w:val="00FC5F93"/>
    <w:rsid w:val="00FC6D00"/>
    <w:rsid w:val="00FD0714"/>
    <w:rsid w:val="00FD0D6C"/>
    <w:rsid w:val="00FD1550"/>
    <w:rsid w:val="00FD1E4F"/>
    <w:rsid w:val="00FD1F9C"/>
    <w:rsid w:val="00FD48B8"/>
    <w:rsid w:val="00FD52B7"/>
    <w:rsid w:val="00FE0E51"/>
    <w:rsid w:val="00FE10C8"/>
    <w:rsid w:val="00FE4A13"/>
    <w:rsid w:val="00FE7D8D"/>
    <w:rsid w:val="00FE7FD0"/>
    <w:rsid w:val="00FF0921"/>
    <w:rsid w:val="00FF13F3"/>
    <w:rsid w:val="00FF1B63"/>
    <w:rsid w:val="00FF4069"/>
    <w:rsid w:val="00FF4162"/>
    <w:rsid w:val="00FF45E5"/>
    <w:rsid w:val="00FF5154"/>
    <w:rsid w:val="00FF5700"/>
    <w:rsid w:val="00FF5AED"/>
    <w:rsid w:val="00FF6886"/>
    <w:rsid w:val="00FF6970"/>
    <w:rsid w:val="00FF69B1"/>
    <w:rsid w:val="00FF772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65BA9"/>
  <w15:docId w15:val="{AC68BFFB-6689-4843-AE29-5A6D3870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0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09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0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32"/>
    <w:pPr>
      <w:ind w:left="720"/>
      <w:contextualSpacing/>
    </w:pPr>
  </w:style>
  <w:style w:type="character" w:styleId="CommentReference">
    <w:name w:val="annotation reference"/>
    <w:basedOn w:val="DefaultParagraphFont"/>
    <w:uiPriority w:val="99"/>
    <w:semiHidden/>
    <w:unhideWhenUsed/>
    <w:rsid w:val="00A570AB"/>
    <w:rPr>
      <w:sz w:val="16"/>
      <w:szCs w:val="16"/>
    </w:rPr>
  </w:style>
  <w:style w:type="paragraph" w:styleId="CommentText">
    <w:name w:val="annotation text"/>
    <w:basedOn w:val="Normal"/>
    <w:link w:val="CommentTextChar"/>
    <w:uiPriority w:val="99"/>
    <w:semiHidden/>
    <w:unhideWhenUsed/>
    <w:rsid w:val="00A570AB"/>
    <w:pPr>
      <w:spacing w:line="240" w:lineRule="auto"/>
    </w:pPr>
    <w:rPr>
      <w:sz w:val="20"/>
      <w:szCs w:val="20"/>
    </w:rPr>
  </w:style>
  <w:style w:type="character" w:customStyle="1" w:styleId="CommentTextChar">
    <w:name w:val="Comment Text Char"/>
    <w:basedOn w:val="DefaultParagraphFont"/>
    <w:link w:val="CommentText"/>
    <w:uiPriority w:val="99"/>
    <w:semiHidden/>
    <w:rsid w:val="00A570AB"/>
    <w:rPr>
      <w:sz w:val="20"/>
      <w:szCs w:val="20"/>
    </w:rPr>
  </w:style>
  <w:style w:type="paragraph" w:styleId="CommentSubject">
    <w:name w:val="annotation subject"/>
    <w:basedOn w:val="CommentText"/>
    <w:next w:val="CommentText"/>
    <w:link w:val="CommentSubjectChar"/>
    <w:uiPriority w:val="99"/>
    <w:semiHidden/>
    <w:unhideWhenUsed/>
    <w:rsid w:val="00A570AB"/>
    <w:rPr>
      <w:b/>
      <w:bCs/>
    </w:rPr>
  </w:style>
  <w:style w:type="character" w:customStyle="1" w:styleId="CommentSubjectChar">
    <w:name w:val="Comment Subject Char"/>
    <w:basedOn w:val="CommentTextChar"/>
    <w:link w:val="CommentSubject"/>
    <w:uiPriority w:val="99"/>
    <w:semiHidden/>
    <w:rsid w:val="00A570AB"/>
    <w:rPr>
      <w:b/>
      <w:bCs/>
      <w:sz w:val="20"/>
      <w:szCs w:val="20"/>
    </w:rPr>
  </w:style>
  <w:style w:type="paragraph" w:styleId="BalloonText">
    <w:name w:val="Balloon Text"/>
    <w:basedOn w:val="Normal"/>
    <w:link w:val="BalloonTextChar"/>
    <w:uiPriority w:val="99"/>
    <w:semiHidden/>
    <w:unhideWhenUsed/>
    <w:rsid w:val="00A57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AB"/>
    <w:rPr>
      <w:rFonts w:ascii="Tahoma" w:hAnsi="Tahoma" w:cs="Tahoma"/>
      <w:sz w:val="16"/>
      <w:szCs w:val="16"/>
    </w:rPr>
  </w:style>
  <w:style w:type="paragraph" w:styleId="Header">
    <w:name w:val="header"/>
    <w:basedOn w:val="Normal"/>
    <w:link w:val="HeaderChar"/>
    <w:uiPriority w:val="99"/>
    <w:unhideWhenUsed/>
    <w:rsid w:val="00EA0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9C1"/>
  </w:style>
  <w:style w:type="paragraph" w:styleId="Footer">
    <w:name w:val="footer"/>
    <w:basedOn w:val="Normal"/>
    <w:link w:val="FooterChar"/>
    <w:uiPriority w:val="99"/>
    <w:unhideWhenUsed/>
    <w:rsid w:val="00EA0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9C1"/>
  </w:style>
  <w:style w:type="paragraph" w:styleId="Caption">
    <w:name w:val="caption"/>
    <w:basedOn w:val="Normal"/>
    <w:next w:val="Normal"/>
    <w:uiPriority w:val="35"/>
    <w:unhideWhenUsed/>
    <w:qFormat/>
    <w:rsid w:val="0066158E"/>
    <w:pPr>
      <w:spacing w:line="240" w:lineRule="auto"/>
    </w:pPr>
    <w:rPr>
      <w:b/>
      <w:bCs/>
      <w:color w:val="4F81BD" w:themeColor="accent1"/>
      <w:sz w:val="18"/>
      <w:szCs w:val="18"/>
    </w:rPr>
  </w:style>
  <w:style w:type="character" w:styleId="PageNumber">
    <w:name w:val="page number"/>
    <w:basedOn w:val="DefaultParagraphFont"/>
    <w:rsid w:val="005B4DE5"/>
  </w:style>
  <w:style w:type="table" w:styleId="LightList">
    <w:name w:val="Light List"/>
    <w:basedOn w:val="TableNormal"/>
    <w:uiPriority w:val="61"/>
    <w:rsid w:val="00DF0B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560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09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09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09B6"/>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C3B99"/>
    <w:pPr>
      <w:spacing w:after="100"/>
    </w:pPr>
  </w:style>
  <w:style w:type="paragraph" w:styleId="TOC2">
    <w:name w:val="toc 2"/>
    <w:basedOn w:val="Normal"/>
    <w:next w:val="Normal"/>
    <w:autoRedefine/>
    <w:uiPriority w:val="39"/>
    <w:unhideWhenUsed/>
    <w:rsid w:val="007C3B99"/>
    <w:pPr>
      <w:spacing w:after="100"/>
      <w:ind w:left="220"/>
    </w:pPr>
  </w:style>
  <w:style w:type="paragraph" w:styleId="TOC3">
    <w:name w:val="toc 3"/>
    <w:basedOn w:val="Normal"/>
    <w:next w:val="Normal"/>
    <w:autoRedefine/>
    <w:uiPriority w:val="39"/>
    <w:unhideWhenUsed/>
    <w:rsid w:val="007C3B99"/>
    <w:pPr>
      <w:spacing w:after="100"/>
      <w:ind w:left="440"/>
    </w:pPr>
  </w:style>
  <w:style w:type="character" w:styleId="Hyperlink">
    <w:name w:val="Hyperlink"/>
    <w:basedOn w:val="DefaultParagraphFont"/>
    <w:uiPriority w:val="99"/>
    <w:unhideWhenUsed/>
    <w:rsid w:val="007C3B99"/>
    <w:rPr>
      <w:color w:val="0000FF" w:themeColor="hyperlink"/>
      <w:u w:val="single"/>
    </w:rPr>
  </w:style>
  <w:style w:type="paragraph" w:styleId="TOCHeading">
    <w:name w:val="TOC Heading"/>
    <w:basedOn w:val="Heading1"/>
    <w:next w:val="Normal"/>
    <w:uiPriority w:val="39"/>
    <w:unhideWhenUsed/>
    <w:qFormat/>
    <w:rsid w:val="007C3B99"/>
    <w:pPr>
      <w:outlineLvl w:val="9"/>
    </w:pPr>
    <w:rPr>
      <w:lang w:val="en-US" w:eastAsia="ja-JP"/>
    </w:rPr>
  </w:style>
  <w:style w:type="paragraph" w:styleId="FootnoteText">
    <w:name w:val="footnote text"/>
    <w:basedOn w:val="Normal"/>
    <w:link w:val="FootnoteTextChar"/>
    <w:uiPriority w:val="99"/>
    <w:unhideWhenUsed/>
    <w:rsid w:val="00113448"/>
    <w:pPr>
      <w:spacing w:after="0" w:line="240" w:lineRule="auto"/>
    </w:pPr>
    <w:rPr>
      <w:sz w:val="20"/>
      <w:szCs w:val="20"/>
    </w:rPr>
  </w:style>
  <w:style w:type="character" w:customStyle="1" w:styleId="FootnoteTextChar">
    <w:name w:val="Footnote Text Char"/>
    <w:basedOn w:val="DefaultParagraphFont"/>
    <w:link w:val="FootnoteText"/>
    <w:uiPriority w:val="99"/>
    <w:rsid w:val="00113448"/>
    <w:rPr>
      <w:sz w:val="20"/>
      <w:szCs w:val="20"/>
    </w:rPr>
  </w:style>
  <w:style w:type="character" w:styleId="FootnoteReference">
    <w:name w:val="footnote reference"/>
    <w:basedOn w:val="DefaultParagraphFont"/>
    <w:unhideWhenUsed/>
    <w:rsid w:val="00113448"/>
    <w:rPr>
      <w:vertAlign w:val="superscript"/>
    </w:rPr>
  </w:style>
  <w:style w:type="paragraph" w:styleId="TableofFigures">
    <w:name w:val="table of figures"/>
    <w:basedOn w:val="Normal"/>
    <w:next w:val="Normal"/>
    <w:uiPriority w:val="99"/>
    <w:unhideWhenUsed/>
    <w:rsid w:val="009E3664"/>
    <w:pPr>
      <w:spacing w:after="0"/>
    </w:pPr>
  </w:style>
  <w:style w:type="paragraph" w:customStyle="1" w:styleId="Default">
    <w:name w:val="Default"/>
    <w:rsid w:val="00B74C9A"/>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BE5E5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EndnoteText">
    <w:name w:val="endnote text"/>
    <w:basedOn w:val="Normal"/>
    <w:link w:val="EndnoteTextChar"/>
    <w:uiPriority w:val="99"/>
    <w:semiHidden/>
    <w:unhideWhenUsed/>
    <w:rsid w:val="00BE5E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E5C"/>
    <w:rPr>
      <w:sz w:val="20"/>
      <w:szCs w:val="20"/>
    </w:rPr>
  </w:style>
  <w:style w:type="character" w:styleId="EndnoteReference">
    <w:name w:val="endnote reference"/>
    <w:basedOn w:val="DefaultParagraphFont"/>
    <w:uiPriority w:val="99"/>
    <w:semiHidden/>
    <w:unhideWhenUsed/>
    <w:rsid w:val="00BE5E5C"/>
    <w:rPr>
      <w:vertAlign w:val="superscript"/>
    </w:rPr>
  </w:style>
  <w:style w:type="paragraph" w:styleId="Revision">
    <w:name w:val="Revision"/>
    <w:hidden/>
    <w:uiPriority w:val="99"/>
    <w:semiHidden/>
    <w:rsid w:val="00AD75A2"/>
    <w:pPr>
      <w:spacing w:after="0" w:line="240" w:lineRule="auto"/>
    </w:pPr>
  </w:style>
  <w:style w:type="character" w:styleId="UnresolvedMention">
    <w:name w:val="Unresolved Mention"/>
    <w:basedOn w:val="DefaultParagraphFont"/>
    <w:uiPriority w:val="99"/>
    <w:semiHidden/>
    <w:unhideWhenUsed/>
    <w:rsid w:val="00283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7979">
      <w:bodyDiv w:val="1"/>
      <w:marLeft w:val="0"/>
      <w:marRight w:val="0"/>
      <w:marTop w:val="0"/>
      <w:marBottom w:val="0"/>
      <w:divBdr>
        <w:top w:val="none" w:sz="0" w:space="0" w:color="auto"/>
        <w:left w:val="none" w:sz="0" w:space="0" w:color="auto"/>
        <w:bottom w:val="none" w:sz="0" w:space="0" w:color="auto"/>
        <w:right w:val="none" w:sz="0" w:space="0" w:color="auto"/>
      </w:divBdr>
    </w:div>
    <w:div w:id="2937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rdelia@ed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51AA838-7C0D-48AA-A160-EF6D2789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11</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Cordelia Woodhouse</cp:lastModifiedBy>
  <cp:revision>59</cp:revision>
  <cp:lastPrinted>2018-02-05T03:41:00Z</cp:lastPrinted>
  <dcterms:created xsi:type="dcterms:W3CDTF">2021-03-01T07:47:00Z</dcterms:created>
  <dcterms:modified xsi:type="dcterms:W3CDTF">2021-03-03T01:33:00Z</dcterms:modified>
</cp:coreProperties>
</file>