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7371" w:type="dxa"/>
        <w:tblLayout w:type="fixed"/>
        <w:tblLook w:val="0000" w:firstRow="0" w:lastRow="0" w:firstColumn="0" w:lastColumn="0" w:noHBand="0" w:noVBand="0"/>
      </w:tblPr>
      <w:tblGrid>
        <w:gridCol w:w="7371"/>
      </w:tblGrid>
      <w:tr w:rsidR="003A2D2D" w:rsidRPr="00413ABF" w14:paraId="7602C1B2" w14:textId="77777777" w:rsidTr="00984F18">
        <w:trPr>
          <w:cantSplit/>
          <w:trHeight w:val="561"/>
        </w:trPr>
        <w:tc>
          <w:tcPr>
            <w:tcW w:w="7371" w:type="dxa"/>
          </w:tcPr>
          <w:p w14:paraId="7C9EDFF5" w14:textId="6A35A7FF" w:rsidR="003A2D2D" w:rsidRPr="00413ABF" w:rsidRDefault="003A2D2D" w:rsidP="00C250E0">
            <w:pPr>
              <w:pStyle w:val="Intituling"/>
              <w:rPr>
                <w:b/>
                <w:sz w:val="24"/>
                <w:szCs w:val="24"/>
              </w:rPr>
            </w:pPr>
            <w:bookmarkStart w:id="0" w:name="Intituling"/>
            <w:bookmarkStart w:id="1" w:name="Regenerate"/>
            <w:r w:rsidRPr="00413ABF">
              <w:rPr>
                <w:b/>
                <w:sz w:val="24"/>
                <w:szCs w:val="24"/>
              </w:rPr>
              <w:t xml:space="preserve">BEFORE </w:t>
            </w:r>
            <w:r w:rsidR="007D75A8">
              <w:rPr>
                <w:b/>
                <w:sz w:val="24"/>
                <w:szCs w:val="24"/>
              </w:rPr>
              <w:t>INDEPENDENT COMMISSIONERS APPOINTED BY MACKENZIE DISTRICT COUNCIL</w:t>
            </w:r>
          </w:p>
        </w:tc>
      </w:tr>
      <w:tr w:rsidR="00C028AB" w:rsidRPr="00413ABF" w14:paraId="0B811E81" w14:textId="77777777" w:rsidTr="00984F18">
        <w:trPr>
          <w:cantSplit/>
          <w:trHeight w:hRule="exact" w:val="20"/>
        </w:trPr>
        <w:tc>
          <w:tcPr>
            <w:tcW w:w="7371" w:type="dxa"/>
          </w:tcPr>
          <w:p w14:paraId="62CDC811" w14:textId="77777777" w:rsidR="00C028AB" w:rsidRPr="00413ABF" w:rsidRDefault="00C028AB">
            <w:pPr>
              <w:pStyle w:val="Intituling"/>
              <w:rPr>
                <w:sz w:val="28"/>
              </w:rPr>
            </w:pPr>
          </w:p>
        </w:tc>
      </w:tr>
    </w:tbl>
    <w:p w14:paraId="737BE4AC" w14:textId="77777777" w:rsidR="00EE2E77" w:rsidRPr="00413ABF" w:rsidRDefault="00EE2E77">
      <w:pPr>
        <w:pStyle w:val="Intituling"/>
      </w:pPr>
    </w:p>
    <w:p w14:paraId="730081F5" w14:textId="77777777" w:rsidR="00EE2E77" w:rsidRPr="00413ABF" w:rsidRDefault="00EE2E77">
      <w:pPr>
        <w:pStyle w:val="Intituling"/>
      </w:pPr>
    </w:p>
    <w:p w14:paraId="75868E5C" w14:textId="77777777" w:rsidR="00F81C8A" w:rsidRPr="00413ABF" w:rsidRDefault="00F81C8A">
      <w:pPr>
        <w:pStyle w:val="Intituling"/>
      </w:pPr>
    </w:p>
    <w:tbl>
      <w:tblPr>
        <w:tblW w:w="4712" w:type="dxa"/>
        <w:tblInd w:w="2376" w:type="dxa"/>
        <w:tblLayout w:type="fixed"/>
        <w:tblLook w:val="0000" w:firstRow="0" w:lastRow="0" w:firstColumn="0" w:lastColumn="0" w:noHBand="0" w:noVBand="0"/>
      </w:tblPr>
      <w:tblGrid>
        <w:gridCol w:w="4712"/>
      </w:tblGrid>
      <w:tr w:rsidR="00C028AB" w:rsidRPr="00413ABF" w14:paraId="7B03A7F5" w14:textId="77777777" w:rsidTr="00984F18">
        <w:trPr>
          <w:cantSplit/>
        </w:trPr>
        <w:tc>
          <w:tcPr>
            <w:tcW w:w="4712" w:type="dxa"/>
          </w:tcPr>
          <w:p w14:paraId="46105117" w14:textId="77777777" w:rsidR="00C028AB" w:rsidRPr="00413ABF" w:rsidRDefault="007E682B" w:rsidP="008E533C">
            <w:pPr>
              <w:pStyle w:val="Intituling"/>
              <w:spacing w:before="240" w:after="240"/>
              <w:rPr>
                <w:sz w:val="24"/>
                <w:szCs w:val="24"/>
              </w:rPr>
            </w:pPr>
            <w:bookmarkStart w:id="2" w:name="All"/>
            <w:r w:rsidRPr="00413ABF">
              <w:rPr>
                <w:sz w:val="24"/>
                <w:szCs w:val="24"/>
              </w:rPr>
              <w:t>In the matter of</w:t>
            </w:r>
          </w:p>
        </w:tc>
      </w:tr>
      <w:tr w:rsidR="008E533C" w:rsidRPr="00290E2D" w14:paraId="3E85BC48" w14:textId="77777777" w:rsidTr="00984F18">
        <w:trPr>
          <w:cantSplit/>
        </w:trPr>
        <w:tc>
          <w:tcPr>
            <w:tcW w:w="4712" w:type="dxa"/>
          </w:tcPr>
          <w:p w14:paraId="564F6294" w14:textId="77777777" w:rsidR="008E533C" w:rsidRPr="00413ABF" w:rsidRDefault="00F81C8A" w:rsidP="00F81C8A">
            <w:pPr>
              <w:pStyle w:val="Intituling"/>
              <w:spacing w:before="240" w:after="240"/>
              <w:rPr>
                <w:b/>
                <w:sz w:val="24"/>
                <w:szCs w:val="24"/>
              </w:rPr>
            </w:pPr>
            <w:r w:rsidRPr="00413ABF">
              <w:rPr>
                <w:b/>
                <w:sz w:val="24"/>
                <w:szCs w:val="24"/>
              </w:rPr>
              <w:t>the Resource Management Act 1991</w:t>
            </w:r>
          </w:p>
        </w:tc>
      </w:tr>
      <w:tr w:rsidR="002F479F" w:rsidRPr="00290E2D" w14:paraId="08A01FA7" w14:textId="77777777" w:rsidTr="00984F18">
        <w:tc>
          <w:tcPr>
            <w:tcW w:w="4712" w:type="dxa"/>
          </w:tcPr>
          <w:p w14:paraId="2B94DAF1" w14:textId="77777777" w:rsidR="002F479F" w:rsidRPr="00413ABF" w:rsidRDefault="00B45767" w:rsidP="002F479F">
            <w:pPr>
              <w:pStyle w:val="Intituling"/>
              <w:spacing w:before="240" w:after="240"/>
              <w:rPr>
                <w:sz w:val="24"/>
                <w:szCs w:val="24"/>
              </w:rPr>
            </w:pPr>
            <w:bookmarkStart w:id="3" w:name="FirstParty1_And"/>
            <w:r w:rsidRPr="00413ABF">
              <w:rPr>
                <w:sz w:val="24"/>
                <w:szCs w:val="24"/>
              </w:rPr>
              <w:t>a</w:t>
            </w:r>
            <w:r w:rsidR="002F479F" w:rsidRPr="00413ABF">
              <w:rPr>
                <w:sz w:val="24"/>
                <w:szCs w:val="24"/>
              </w:rPr>
              <w:t>nd</w:t>
            </w:r>
          </w:p>
        </w:tc>
      </w:tr>
      <w:bookmarkEnd w:id="3"/>
      <w:tr w:rsidR="008E533C" w:rsidRPr="00290E2D" w14:paraId="2FFE1A9B" w14:textId="77777777" w:rsidTr="00984F18">
        <w:trPr>
          <w:cantSplit/>
        </w:trPr>
        <w:tc>
          <w:tcPr>
            <w:tcW w:w="4712" w:type="dxa"/>
          </w:tcPr>
          <w:p w14:paraId="01EB03D1" w14:textId="4D430987" w:rsidR="008E533C" w:rsidRPr="00290E2D" w:rsidRDefault="0060057B" w:rsidP="0060057B">
            <w:pPr>
              <w:pStyle w:val="Intituling"/>
              <w:spacing w:before="240" w:after="240"/>
              <w:rPr>
                <w:sz w:val="24"/>
                <w:szCs w:val="24"/>
                <w:highlight w:val="yellow"/>
              </w:rPr>
            </w:pPr>
            <w:r>
              <w:rPr>
                <w:b/>
                <w:sz w:val="24"/>
                <w:szCs w:val="24"/>
              </w:rPr>
              <w:t xml:space="preserve">Proposed </w:t>
            </w:r>
            <w:r w:rsidRPr="0060057B">
              <w:rPr>
                <w:b/>
                <w:sz w:val="24"/>
                <w:szCs w:val="24"/>
              </w:rPr>
              <w:t xml:space="preserve">Plan Change 18 </w:t>
            </w:r>
            <w:r>
              <w:rPr>
                <w:b/>
                <w:sz w:val="24"/>
                <w:szCs w:val="24"/>
              </w:rPr>
              <w:t xml:space="preserve">(Indigenous Biodiversity) </w:t>
            </w:r>
            <w:r w:rsidRPr="0060057B">
              <w:rPr>
                <w:b/>
                <w:sz w:val="24"/>
                <w:szCs w:val="24"/>
              </w:rPr>
              <w:t>to the Mackenzie District Plan</w:t>
            </w:r>
          </w:p>
        </w:tc>
      </w:tr>
      <w:tr w:rsidR="008E533C" w:rsidRPr="00290E2D" w14:paraId="7C900E5E" w14:textId="77777777" w:rsidTr="00984F18">
        <w:trPr>
          <w:cantSplit/>
          <w:trHeight w:val="1870"/>
        </w:trPr>
        <w:tc>
          <w:tcPr>
            <w:tcW w:w="4712" w:type="dxa"/>
          </w:tcPr>
          <w:p w14:paraId="424F7032" w14:textId="77777777" w:rsidR="008E533C" w:rsidRPr="00290E2D" w:rsidRDefault="008E533C" w:rsidP="002F479F">
            <w:pPr>
              <w:pStyle w:val="Intituling"/>
              <w:spacing w:before="240" w:after="240"/>
              <w:rPr>
                <w:sz w:val="24"/>
                <w:szCs w:val="24"/>
                <w:highlight w:val="yellow"/>
              </w:rPr>
            </w:pPr>
          </w:p>
        </w:tc>
      </w:tr>
    </w:tbl>
    <w:p w14:paraId="3D84350B" w14:textId="77777777" w:rsidR="00C028AB" w:rsidRPr="00290E2D" w:rsidRDefault="00C028AB">
      <w:pPr>
        <w:pStyle w:val="Intituling"/>
        <w:spacing w:before="600"/>
        <w:rPr>
          <w:highlight w:val="yellow"/>
        </w:rPr>
      </w:pPr>
    </w:p>
    <w:tbl>
      <w:tblPr>
        <w:tblW w:w="0" w:type="auto"/>
        <w:tblInd w:w="-709" w:type="dxa"/>
        <w:tblLayout w:type="fixed"/>
        <w:tblLook w:val="0000" w:firstRow="0" w:lastRow="0" w:firstColumn="0" w:lastColumn="0" w:noHBand="0" w:noVBand="0"/>
      </w:tblPr>
      <w:tblGrid>
        <w:gridCol w:w="7797"/>
      </w:tblGrid>
      <w:tr w:rsidR="00C028AB" w:rsidRPr="00413ABF" w14:paraId="7F712AC4" w14:textId="77777777" w:rsidTr="00984F18">
        <w:trPr>
          <w:cantSplit/>
        </w:trPr>
        <w:tc>
          <w:tcPr>
            <w:tcW w:w="7797" w:type="dxa"/>
            <w:tcBorders>
              <w:top w:val="single" w:sz="6" w:space="0" w:color="auto"/>
            </w:tcBorders>
          </w:tcPr>
          <w:p w14:paraId="13F3BB71" w14:textId="43441A64" w:rsidR="00FF110D" w:rsidRPr="00413ABF" w:rsidRDefault="008E533C" w:rsidP="00FF110D">
            <w:pPr>
              <w:pStyle w:val="Intituling"/>
              <w:spacing w:before="120"/>
              <w:jc w:val="center"/>
              <w:rPr>
                <w:b/>
                <w:sz w:val="28"/>
              </w:rPr>
            </w:pPr>
            <w:bookmarkStart w:id="4" w:name="Name"/>
            <w:bookmarkEnd w:id="2"/>
            <w:r w:rsidRPr="00413ABF">
              <w:rPr>
                <w:b/>
                <w:sz w:val="28"/>
              </w:rPr>
              <w:t xml:space="preserve">Statement of Evidence of </w:t>
            </w:r>
            <w:r w:rsidR="00AA6B48" w:rsidRPr="00413ABF">
              <w:rPr>
                <w:b/>
                <w:sz w:val="28"/>
              </w:rPr>
              <w:t xml:space="preserve">Ainsley Jean McLeod </w:t>
            </w:r>
            <w:r w:rsidR="00FF110D" w:rsidRPr="00413ABF">
              <w:rPr>
                <w:b/>
                <w:sz w:val="28"/>
              </w:rPr>
              <w:t>on behalf of</w:t>
            </w:r>
            <w:r w:rsidR="00821CE7" w:rsidRPr="00413ABF">
              <w:rPr>
                <w:b/>
                <w:sz w:val="28"/>
              </w:rPr>
              <w:t xml:space="preserve"> Transpower New Zealand Limited</w:t>
            </w:r>
          </w:p>
          <w:p w14:paraId="086AACBB" w14:textId="13A5F0C5" w:rsidR="00C028AB" w:rsidRPr="00413ABF" w:rsidRDefault="008E533C" w:rsidP="00C700C5">
            <w:pPr>
              <w:pStyle w:val="Intituling"/>
              <w:spacing w:before="120"/>
              <w:jc w:val="center"/>
              <w:rPr>
                <w:b/>
                <w:sz w:val="28"/>
              </w:rPr>
            </w:pPr>
            <w:r w:rsidRPr="00413ABF">
              <w:rPr>
                <w:b/>
                <w:sz w:val="28"/>
              </w:rPr>
              <w:t xml:space="preserve">dated </w:t>
            </w:r>
            <w:bookmarkEnd w:id="4"/>
            <w:r w:rsidR="00A00396">
              <w:rPr>
                <w:b/>
                <w:sz w:val="28"/>
              </w:rPr>
              <w:t>12</w:t>
            </w:r>
            <w:r w:rsidR="007D75A8">
              <w:rPr>
                <w:b/>
                <w:sz w:val="28"/>
              </w:rPr>
              <w:t xml:space="preserve"> February 2021</w:t>
            </w:r>
          </w:p>
        </w:tc>
      </w:tr>
      <w:tr w:rsidR="00C028AB" w:rsidRPr="00290E2D" w14:paraId="356E44D8" w14:textId="77777777" w:rsidTr="00984F18">
        <w:trPr>
          <w:cantSplit/>
          <w:trHeight w:hRule="exact" w:val="20"/>
        </w:trPr>
        <w:tc>
          <w:tcPr>
            <w:tcW w:w="7797" w:type="dxa"/>
          </w:tcPr>
          <w:p w14:paraId="3382A12F" w14:textId="77777777" w:rsidR="00C028AB" w:rsidRPr="00290E2D" w:rsidRDefault="00C028AB">
            <w:pPr>
              <w:pStyle w:val="Intituling"/>
              <w:spacing w:before="240"/>
              <w:rPr>
                <w:b/>
                <w:sz w:val="28"/>
                <w:highlight w:val="yellow"/>
              </w:rPr>
            </w:pPr>
          </w:p>
        </w:tc>
      </w:tr>
      <w:tr w:rsidR="00C028AB" w:rsidRPr="00290E2D" w14:paraId="44A6B206" w14:textId="77777777" w:rsidTr="00984F18">
        <w:trPr>
          <w:cantSplit/>
          <w:trHeight w:hRule="exact" w:val="20"/>
        </w:trPr>
        <w:tc>
          <w:tcPr>
            <w:tcW w:w="7797" w:type="dxa"/>
          </w:tcPr>
          <w:p w14:paraId="6253D1DB" w14:textId="77777777" w:rsidR="00C028AB" w:rsidRPr="00290E2D" w:rsidRDefault="00C028AB">
            <w:pPr>
              <w:pStyle w:val="Intituling"/>
              <w:rPr>
                <w:b/>
                <w:sz w:val="28"/>
                <w:highlight w:val="yellow"/>
              </w:rPr>
            </w:pPr>
          </w:p>
        </w:tc>
      </w:tr>
      <w:tr w:rsidR="00C028AB" w:rsidRPr="00290E2D" w14:paraId="3F50F991" w14:textId="77777777" w:rsidTr="00984F18">
        <w:trPr>
          <w:cantSplit/>
          <w:trHeight w:hRule="exact" w:val="20"/>
        </w:trPr>
        <w:tc>
          <w:tcPr>
            <w:tcW w:w="7797" w:type="dxa"/>
          </w:tcPr>
          <w:p w14:paraId="4A08667F" w14:textId="77777777" w:rsidR="00C028AB" w:rsidRPr="00290E2D" w:rsidRDefault="00C028AB">
            <w:pPr>
              <w:pStyle w:val="Intituling"/>
              <w:rPr>
                <w:highlight w:val="yellow"/>
              </w:rPr>
            </w:pPr>
          </w:p>
        </w:tc>
      </w:tr>
      <w:tr w:rsidR="00C028AB" w:rsidRPr="00290E2D" w14:paraId="5E477C2B" w14:textId="77777777" w:rsidTr="00984F18">
        <w:trPr>
          <w:cantSplit/>
          <w:trHeight w:hRule="exact" w:val="20"/>
        </w:trPr>
        <w:tc>
          <w:tcPr>
            <w:tcW w:w="7797" w:type="dxa"/>
          </w:tcPr>
          <w:p w14:paraId="20830AF1" w14:textId="77777777" w:rsidR="00C028AB" w:rsidRPr="00290E2D" w:rsidRDefault="00C028AB">
            <w:pPr>
              <w:pStyle w:val="Intituling"/>
              <w:rPr>
                <w:highlight w:val="yellow"/>
              </w:rPr>
            </w:pPr>
          </w:p>
        </w:tc>
      </w:tr>
      <w:tr w:rsidR="00C028AB" w:rsidRPr="00290E2D" w14:paraId="1EA17F08" w14:textId="77777777" w:rsidTr="00984F18">
        <w:trPr>
          <w:cantSplit/>
          <w:trHeight w:hRule="exact" w:val="120"/>
        </w:trPr>
        <w:tc>
          <w:tcPr>
            <w:tcW w:w="7797" w:type="dxa"/>
            <w:tcBorders>
              <w:bottom w:val="single" w:sz="4" w:space="0" w:color="auto"/>
            </w:tcBorders>
          </w:tcPr>
          <w:p w14:paraId="7773556F" w14:textId="77777777" w:rsidR="00C028AB" w:rsidRPr="00290E2D" w:rsidRDefault="00C028AB">
            <w:pPr>
              <w:pStyle w:val="Intituling"/>
              <w:rPr>
                <w:highlight w:val="yellow"/>
              </w:rPr>
            </w:pPr>
            <w:r w:rsidRPr="00290E2D">
              <w:rPr>
                <w:highlight w:val="yellow"/>
              </w:rPr>
              <w:t xml:space="preserve"> </w:t>
            </w:r>
          </w:p>
        </w:tc>
      </w:tr>
    </w:tbl>
    <w:p w14:paraId="34932B8D" w14:textId="77777777" w:rsidR="00C028AB" w:rsidRPr="00290E2D" w:rsidRDefault="00C028AB">
      <w:pPr>
        <w:pStyle w:val="Intituling"/>
        <w:rPr>
          <w:highlight w:val="yellow"/>
        </w:rPr>
      </w:pPr>
    </w:p>
    <w:p w14:paraId="0CFA8B4E" w14:textId="77777777" w:rsidR="00C028AB" w:rsidRPr="00290E2D" w:rsidRDefault="00C028AB">
      <w:pPr>
        <w:pStyle w:val="Intituling"/>
        <w:rPr>
          <w:highlight w:val="yellow"/>
        </w:rPr>
        <w:sectPr w:rsidR="00C028AB" w:rsidRPr="00290E2D" w:rsidSect="00984F18">
          <w:headerReference w:type="even" r:id="rId8"/>
          <w:headerReference w:type="default" r:id="rId9"/>
          <w:footerReference w:type="even" r:id="rId10"/>
          <w:footerReference w:type="default" r:id="rId11"/>
          <w:headerReference w:type="first" r:id="rId12"/>
          <w:footerReference w:type="first" r:id="rId13"/>
          <w:pgSz w:w="11906" w:h="16838" w:code="9"/>
          <w:pgMar w:top="1418" w:right="1700" w:bottom="1134" w:left="2948" w:header="720" w:footer="907" w:gutter="0"/>
          <w:pgNumType w:start="0"/>
          <w:cols w:space="720"/>
          <w:titlePg/>
        </w:sectPr>
      </w:pPr>
    </w:p>
    <w:p w14:paraId="02BEE2F7" w14:textId="5F165580" w:rsidR="00023A10" w:rsidRPr="00E23221" w:rsidRDefault="009D372D" w:rsidP="00C25B1B">
      <w:pPr>
        <w:pStyle w:val="Heading2-nonumbers"/>
        <w:spacing w:after="280"/>
      </w:pPr>
      <w:bookmarkStart w:id="5" w:name="ExecutionClause"/>
      <w:bookmarkEnd w:id="0"/>
      <w:bookmarkEnd w:id="1"/>
      <w:bookmarkEnd w:id="5"/>
      <w:r w:rsidRPr="00E23221">
        <w:lastRenderedPageBreak/>
        <w:t>Introduction</w:t>
      </w:r>
    </w:p>
    <w:p w14:paraId="529878D0" w14:textId="44DF1B4F" w:rsidR="00FA72BF" w:rsidRPr="00E23221" w:rsidRDefault="00FA72BF" w:rsidP="00D41BD5">
      <w:pPr>
        <w:pStyle w:val="BodyText"/>
        <w:ind w:left="567" w:hanging="567"/>
        <w:rPr>
          <w:sz w:val="20"/>
          <w:lang w:val="en-GB" w:eastAsia="en-US"/>
        </w:rPr>
      </w:pPr>
      <w:r w:rsidRPr="00E23221">
        <w:rPr>
          <w:sz w:val="20"/>
          <w:lang w:val="en-GB" w:eastAsia="en-US"/>
        </w:rPr>
        <w:t>1.</w:t>
      </w:r>
      <w:r w:rsidRPr="00E23221">
        <w:rPr>
          <w:sz w:val="20"/>
          <w:lang w:val="en-GB" w:eastAsia="en-US"/>
        </w:rPr>
        <w:tab/>
        <w:t>My full name is Ainsley Jean McLeod. I hold the qualifications of a Bachelor of Arts (Geography and Anthropology) and a Master of Regional and Resource Planning, both from the University of Otago. I am a full member of the New Zealand Planning Institute.</w:t>
      </w:r>
    </w:p>
    <w:p w14:paraId="3E5FA5A5" w14:textId="53DCCE06" w:rsidR="00FA72BF" w:rsidRPr="00413ABF" w:rsidRDefault="00FA72BF" w:rsidP="00D41BD5">
      <w:pPr>
        <w:pStyle w:val="BodyText"/>
        <w:ind w:left="567" w:hanging="567"/>
        <w:rPr>
          <w:sz w:val="20"/>
          <w:lang w:val="en-GB" w:eastAsia="en-US"/>
        </w:rPr>
      </w:pPr>
      <w:r w:rsidRPr="00E23221">
        <w:rPr>
          <w:sz w:val="20"/>
          <w:lang w:val="en-GB" w:eastAsia="en-US"/>
        </w:rPr>
        <w:t>2.</w:t>
      </w:r>
      <w:r w:rsidRPr="00E23221">
        <w:rPr>
          <w:sz w:val="20"/>
          <w:lang w:val="en-GB" w:eastAsia="en-US"/>
        </w:rPr>
        <w:tab/>
        <w:t xml:space="preserve">I am a self-employed planner, trading as Ainsley McLeod Consulting. I have over 20 years' experience in planning practice, primarily as a consultant planner based in Wellington and Christchurch, during which time I have undertaken consenting, designation, and policy planning work. I have provided professional planning advice to a range of clients including central and local </w:t>
      </w:r>
      <w:r w:rsidRPr="00413ABF">
        <w:rPr>
          <w:sz w:val="20"/>
          <w:lang w:val="en-GB" w:eastAsia="en-US"/>
        </w:rPr>
        <w:t>government, and the private sector.</w:t>
      </w:r>
    </w:p>
    <w:p w14:paraId="76627BDC" w14:textId="686DFBD7" w:rsidR="00FA72BF" w:rsidRPr="00413ABF" w:rsidRDefault="00FA72BF" w:rsidP="00D41BD5">
      <w:pPr>
        <w:pStyle w:val="BodyText"/>
        <w:ind w:left="567" w:hanging="567"/>
        <w:rPr>
          <w:sz w:val="20"/>
          <w:lang w:val="en-GB" w:eastAsia="en-US"/>
        </w:rPr>
      </w:pPr>
      <w:r w:rsidRPr="00413ABF">
        <w:rPr>
          <w:sz w:val="20"/>
          <w:lang w:val="en-GB" w:eastAsia="en-US"/>
        </w:rPr>
        <w:t>3.</w:t>
      </w:r>
      <w:r w:rsidRPr="00413ABF">
        <w:rPr>
          <w:sz w:val="20"/>
          <w:lang w:val="en-GB" w:eastAsia="en-US"/>
        </w:rPr>
        <w:tab/>
        <w:t xml:space="preserve">I have </w:t>
      </w:r>
      <w:proofErr w:type="gramStart"/>
      <w:r w:rsidRPr="00413ABF">
        <w:rPr>
          <w:sz w:val="20"/>
          <w:lang w:val="en-GB" w:eastAsia="en-US"/>
        </w:rPr>
        <w:t>particular expertise</w:t>
      </w:r>
      <w:proofErr w:type="gramEnd"/>
      <w:r w:rsidRPr="00413ABF">
        <w:rPr>
          <w:sz w:val="20"/>
          <w:lang w:val="en-GB" w:eastAsia="en-US"/>
        </w:rPr>
        <w:t xml:space="preserve"> in respect of infrastructure and network utilities, having provided planning advice in relation to power transmission, distribution and generation, water and waste, rail and roading, and telecommunications projects. I have acted as an expert witness on </w:t>
      </w:r>
      <w:proofErr w:type="gramStart"/>
      <w:r w:rsidRPr="00413ABF">
        <w:rPr>
          <w:sz w:val="20"/>
          <w:lang w:val="en-GB" w:eastAsia="en-US"/>
        </w:rPr>
        <w:t>a number of</w:t>
      </w:r>
      <w:proofErr w:type="gramEnd"/>
      <w:r w:rsidRPr="00413ABF">
        <w:rPr>
          <w:sz w:val="20"/>
          <w:lang w:val="en-GB" w:eastAsia="en-US"/>
        </w:rPr>
        <w:t xml:space="preserve"> occasions before hearings panels, boards of inquiry and the Environment Court.</w:t>
      </w:r>
    </w:p>
    <w:p w14:paraId="03762FBA" w14:textId="18EA129D" w:rsidR="00676E41" w:rsidRPr="00413ABF" w:rsidRDefault="00676E41" w:rsidP="00D20038">
      <w:pPr>
        <w:pStyle w:val="ListParagraph"/>
        <w:ind w:left="567" w:hanging="567"/>
      </w:pPr>
      <w:r w:rsidRPr="00413ABF">
        <w:t xml:space="preserve">More specifically, I have provided expert planning advice to Transpower New Zealand Limited (“Transpower”) since 2001 in relation to new and upgraded National Grid transmission lines and substations, along with the relevant planning instruments including the National Policy Statement on Electricity Transmission 2008 (“NPSET”) and the Resource Management (National Environmental Standards for Electricity Transmission Activities) Regulations 2009 (“NESETA”). I am familiar with the ways in which </w:t>
      </w:r>
      <w:proofErr w:type="gramStart"/>
      <w:r w:rsidRPr="00413ABF">
        <w:t>plans</w:t>
      </w:r>
      <w:proofErr w:type="gramEnd"/>
      <w:r w:rsidRPr="00413ABF">
        <w:t xml:space="preserve"> and policy documents respond to these planning instruments, having advised Transpower in respect of a number of regional policy statement, regional plan and district plan reviews</w:t>
      </w:r>
      <w:r w:rsidR="00D24C0C">
        <w:t>.</w:t>
      </w:r>
    </w:p>
    <w:p w14:paraId="070CC298" w14:textId="54D1F23E" w:rsidR="00D41BD5" w:rsidRPr="00D24C0C" w:rsidRDefault="00D41BD5" w:rsidP="00BD7829">
      <w:pPr>
        <w:pStyle w:val="ListParagraph"/>
        <w:ind w:left="567" w:hanging="567"/>
      </w:pPr>
      <w:r w:rsidRPr="00413ABF">
        <w:t xml:space="preserve">I assisted with the preparation of Transpower’s further submission on </w:t>
      </w:r>
      <w:r w:rsidR="00BD7829">
        <w:t>Proposed Plan Change 18 (Indigenous Biodiversity) to the Mackenzie District Plan</w:t>
      </w:r>
      <w:r w:rsidR="00413ABF" w:rsidRPr="00413ABF">
        <w:t xml:space="preserve"> (“Proposed </w:t>
      </w:r>
      <w:r w:rsidR="00BD7829">
        <w:t>Plan Change</w:t>
      </w:r>
      <w:r w:rsidR="00062237" w:rsidRPr="00413ABF">
        <w:t xml:space="preserve">”) </w:t>
      </w:r>
      <w:r w:rsidRPr="00413ABF">
        <w:t xml:space="preserve">and am now engaged to provide expert planning evidence in relation </w:t>
      </w:r>
      <w:r w:rsidR="007F015B" w:rsidRPr="00413ABF">
        <w:t xml:space="preserve">the matters that have been raised in </w:t>
      </w:r>
      <w:r w:rsidR="007F015B" w:rsidRPr="00D24C0C">
        <w:t xml:space="preserve">Transpower’s </w:t>
      </w:r>
      <w:r w:rsidR="00BD7829">
        <w:t xml:space="preserve">further </w:t>
      </w:r>
      <w:r w:rsidR="007F015B" w:rsidRPr="00D24C0C">
        <w:t>submission</w:t>
      </w:r>
      <w:r w:rsidR="00BD7829">
        <w:t>.</w:t>
      </w:r>
    </w:p>
    <w:p w14:paraId="59AA5D66" w14:textId="086EC436" w:rsidR="006B1574" w:rsidRPr="00D24C0C" w:rsidRDefault="006B1574" w:rsidP="006B1574">
      <w:pPr>
        <w:pStyle w:val="Heading2-nonumbers"/>
        <w:spacing w:after="280"/>
      </w:pPr>
      <w:r w:rsidRPr="00D24C0C">
        <w:t xml:space="preserve">Code of </w:t>
      </w:r>
      <w:r w:rsidR="000E5FA6" w:rsidRPr="00D24C0C">
        <w:t>c</w:t>
      </w:r>
      <w:r w:rsidRPr="00D24C0C">
        <w:t>onduct</w:t>
      </w:r>
    </w:p>
    <w:p w14:paraId="3EEEE661" w14:textId="15C1D1A6" w:rsidR="000E5FA6" w:rsidRPr="00D24C0C" w:rsidRDefault="006B1574" w:rsidP="00D20038">
      <w:pPr>
        <w:pStyle w:val="ListParagraph"/>
        <w:ind w:left="567" w:hanging="567"/>
      </w:pPr>
      <w:r w:rsidRPr="00D24C0C">
        <w:t xml:space="preserve">Although this matter is not before the Environment Court, I confirm that I have </w:t>
      </w:r>
      <w:r w:rsidR="000E5FA6" w:rsidRPr="00D24C0C">
        <w:t>read</w:t>
      </w:r>
      <w:r w:rsidRPr="00D24C0C">
        <w:t xml:space="preserve"> the Environment Court's Code of Conduct for Expert Witnesses</w:t>
      </w:r>
      <w:r w:rsidR="000E5FA6" w:rsidRPr="00D24C0C">
        <w:t xml:space="preserve"> as contained in the Court’s 2014 Practice Note. I have complied with the Code of Conduct when preparing my written statement of </w:t>
      </w:r>
      <w:proofErr w:type="gramStart"/>
      <w:r w:rsidR="000E5FA6" w:rsidRPr="00D24C0C">
        <w:t>evidence, and</w:t>
      </w:r>
      <w:proofErr w:type="gramEnd"/>
      <w:r w:rsidR="000E5FA6" w:rsidRPr="00D24C0C">
        <w:t xml:space="preserve"> will do so when I give oral evidence before the Hearing Panel.</w:t>
      </w:r>
    </w:p>
    <w:p w14:paraId="0ADF9DFD" w14:textId="7756FED5" w:rsidR="006B1574" w:rsidRPr="00D24C0C" w:rsidRDefault="006B1574" w:rsidP="00D20038">
      <w:pPr>
        <w:pStyle w:val="ListParagraph"/>
        <w:ind w:left="567" w:hanging="567"/>
      </w:pPr>
      <w:r w:rsidRPr="00D24C0C">
        <w:t xml:space="preserve">I have outlined my </w:t>
      </w:r>
      <w:r w:rsidR="000E5FA6" w:rsidRPr="00D24C0C">
        <w:t xml:space="preserve">expert </w:t>
      </w:r>
      <w:r w:rsidRPr="00D24C0C">
        <w:t xml:space="preserve">qualifications above. </w:t>
      </w:r>
      <w:r w:rsidR="000E5FA6" w:rsidRPr="00D24C0C">
        <w:t>I confirm that the issues addressed in this statement of evidence are within my area of expertise. The data, information, facts and assumptions I have considered in forming my opinions are set out in my evidence to follow. The reasons for the opinions expressed are also set out in the evidence. I have not omitted to consider material facts known to me that might alter or detract from the opinions I express.</w:t>
      </w:r>
    </w:p>
    <w:p w14:paraId="38B015B0" w14:textId="4B661DA5" w:rsidR="006B1574" w:rsidRPr="001436D7" w:rsidRDefault="000E5FA6" w:rsidP="00E272ED">
      <w:pPr>
        <w:pStyle w:val="Heading2-nonumbers"/>
        <w:spacing w:after="280"/>
      </w:pPr>
      <w:r w:rsidRPr="001436D7">
        <w:t xml:space="preserve">Scope of </w:t>
      </w:r>
      <w:r w:rsidR="00C46543" w:rsidRPr="001436D7">
        <w:t>e</w:t>
      </w:r>
      <w:r w:rsidRPr="001436D7">
        <w:t>vidence</w:t>
      </w:r>
    </w:p>
    <w:p w14:paraId="34A09C60" w14:textId="77777777" w:rsidR="000E5FA6" w:rsidRPr="006824A1" w:rsidRDefault="000E5FA6" w:rsidP="00D20038">
      <w:pPr>
        <w:pStyle w:val="ListParagraph"/>
        <w:ind w:left="567" w:hanging="567"/>
      </w:pPr>
      <w:r w:rsidRPr="006824A1">
        <w:t>My evidence:</w:t>
      </w:r>
    </w:p>
    <w:p w14:paraId="109BF109" w14:textId="0E2DF9FC" w:rsidR="000E5FA6" w:rsidRPr="006824A1" w:rsidRDefault="000E5FA6" w:rsidP="00D20038">
      <w:pPr>
        <w:pStyle w:val="ListParagraph"/>
        <w:numPr>
          <w:ilvl w:val="1"/>
          <w:numId w:val="9"/>
        </w:numPr>
        <w:ind w:left="1134" w:hanging="567"/>
      </w:pPr>
      <w:r w:rsidRPr="006824A1">
        <w:t>confirms Transpower’s assets and interests in</w:t>
      </w:r>
      <w:r w:rsidR="00BD7829" w:rsidRPr="006824A1">
        <w:t xml:space="preserve"> Mackenzie District</w:t>
      </w:r>
      <w:r w:rsidRPr="006824A1">
        <w:t>;</w:t>
      </w:r>
    </w:p>
    <w:p w14:paraId="497A97CC" w14:textId="6D6E032B" w:rsidR="000E5FA6" w:rsidRPr="006824A1" w:rsidRDefault="002D784A" w:rsidP="00D20038">
      <w:pPr>
        <w:pStyle w:val="ListParagraph"/>
        <w:numPr>
          <w:ilvl w:val="1"/>
          <w:numId w:val="9"/>
        </w:numPr>
        <w:ind w:left="1134" w:hanging="567"/>
      </w:pPr>
      <w:r w:rsidRPr="006824A1">
        <w:t xml:space="preserve">briefly </w:t>
      </w:r>
      <w:r w:rsidR="000E5FA6" w:rsidRPr="006824A1">
        <w:t xml:space="preserve">sets out the statutory requirements for the </w:t>
      </w:r>
      <w:r w:rsidR="00BD7829" w:rsidRPr="006824A1">
        <w:t>Proposed Plan Change</w:t>
      </w:r>
      <w:r w:rsidR="000E5FA6" w:rsidRPr="006824A1">
        <w:t xml:space="preserve"> in relation to the NPSET and the </w:t>
      </w:r>
      <w:r w:rsidR="001436D7" w:rsidRPr="006824A1">
        <w:t xml:space="preserve">operative </w:t>
      </w:r>
      <w:r w:rsidR="00BD7829" w:rsidRPr="006824A1">
        <w:t>Canterbury</w:t>
      </w:r>
      <w:r w:rsidR="001436D7" w:rsidRPr="006824A1">
        <w:t xml:space="preserve"> Regional Policy Statement 20</w:t>
      </w:r>
      <w:r w:rsidR="00BD7829" w:rsidRPr="006824A1">
        <w:t>13</w:t>
      </w:r>
      <w:r w:rsidR="001436D7" w:rsidRPr="006824A1">
        <w:t xml:space="preserve"> (“</w:t>
      </w:r>
      <w:r w:rsidR="00BD7829" w:rsidRPr="006824A1">
        <w:t>C</w:t>
      </w:r>
      <w:r w:rsidR="001436D7" w:rsidRPr="006824A1">
        <w:t>RPS”)</w:t>
      </w:r>
      <w:r w:rsidR="000E5FA6" w:rsidRPr="006824A1">
        <w:t>;</w:t>
      </w:r>
    </w:p>
    <w:p w14:paraId="7F1E496B" w14:textId="128C8B40" w:rsidR="000E5FA6" w:rsidRPr="000B2561" w:rsidRDefault="000E5FA6" w:rsidP="00D20038">
      <w:pPr>
        <w:pStyle w:val="ListParagraph"/>
        <w:numPr>
          <w:ilvl w:val="1"/>
          <w:numId w:val="9"/>
        </w:numPr>
        <w:ind w:left="1134" w:hanging="567"/>
      </w:pPr>
      <w:r w:rsidRPr="000B2561">
        <w:t xml:space="preserve">describes Transpower’s </w:t>
      </w:r>
      <w:r w:rsidR="00BD7829" w:rsidRPr="000B2561">
        <w:t xml:space="preserve">further </w:t>
      </w:r>
      <w:r w:rsidRPr="000B2561">
        <w:t xml:space="preserve">submission on the </w:t>
      </w:r>
      <w:r w:rsidR="001436D7" w:rsidRPr="000B2561">
        <w:t xml:space="preserve">Proposed </w:t>
      </w:r>
      <w:r w:rsidR="00BD7829" w:rsidRPr="000B2561">
        <w:t>Plan Change; and</w:t>
      </w:r>
    </w:p>
    <w:p w14:paraId="6066840B" w14:textId="7D0A7EC2" w:rsidR="00BD7829" w:rsidRPr="000B2561" w:rsidRDefault="001436D7" w:rsidP="00D20038">
      <w:pPr>
        <w:pStyle w:val="ListParagraph"/>
        <w:numPr>
          <w:ilvl w:val="1"/>
          <w:numId w:val="9"/>
        </w:numPr>
        <w:ind w:left="1134" w:hanging="567"/>
      </w:pPr>
      <w:r w:rsidRPr="000B2561">
        <w:t>res</w:t>
      </w:r>
      <w:r w:rsidR="003C7A58" w:rsidRPr="000B2561">
        <w:t>ponds to</w:t>
      </w:r>
      <w:r w:rsidR="00F55680" w:rsidRPr="000B2561">
        <w:t xml:space="preserve"> </w:t>
      </w:r>
      <w:r w:rsidR="00BD7829" w:rsidRPr="000B2561">
        <w:t>the recommendations (as relevant to the relief sought by Transpower) made in the ‘Mackenzie District Plan Proposed Plan Change 18 – Indigenous Biodiversity Section 42A Hearing Report’ dated 14 December 2020 (“Section 42A Report”).</w:t>
      </w:r>
    </w:p>
    <w:p w14:paraId="52EB7DC1" w14:textId="25534627" w:rsidR="00D41BD5" w:rsidRPr="000B2561" w:rsidRDefault="00E37FCB" w:rsidP="00D20038">
      <w:pPr>
        <w:pStyle w:val="ListParagraph"/>
        <w:ind w:left="567" w:hanging="567"/>
      </w:pPr>
      <w:r w:rsidRPr="000B2561">
        <w:t>In addition to the documents referred to above, i</w:t>
      </w:r>
      <w:r w:rsidR="00D41BD5" w:rsidRPr="000B2561">
        <w:t>n preparing this evidence</w:t>
      </w:r>
      <w:r w:rsidR="000A6D36" w:rsidRPr="000B2561">
        <w:t xml:space="preserve"> I have also reviewed the following documents insofar as they relate to Transpower’s </w:t>
      </w:r>
      <w:r w:rsidR="006824A1" w:rsidRPr="000B2561">
        <w:t xml:space="preserve">further </w:t>
      </w:r>
      <w:r w:rsidR="000A6D36" w:rsidRPr="000B2561">
        <w:t>submission:</w:t>
      </w:r>
    </w:p>
    <w:p w14:paraId="36434438" w14:textId="241EF1AE" w:rsidR="006824A1" w:rsidRPr="000B2561" w:rsidRDefault="006824A1" w:rsidP="00D20038">
      <w:pPr>
        <w:pStyle w:val="ListParagraph"/>
        <w:numPr>
          <w:ilvl w:val="0"/>
          <w:numId w:val="13"/>
        </w:numPr>
        <w:ind w:left="1134" w:hanging="567"/>
      </w:pPr>
      <w:r w:rsidRPr="000B2561">
        <w:t>the relevant primary submissions;</w:t>
      </w:r>
      <w:r w:rsidR="000B2561" w:rsidRPr="000B2561">
        <w:t xml:space="preserve"> and</w:t>
      </w:r>
    </w:p>
    <w:p w14:paraId="5A8E1ADA" w14:textId="429A190A" w:rsidR="00055CAB" w:rsidRPr="000B2561" w:rsidRDefault="00945BCC" w:rsidP="00D20038">
      <w:pPr>
        <w:pStyle w:val="ListParagraph"/>
        <w:numPr>
          <w:ilvl w:val="0"/>
          <w:numId w:val="13"/>
        </w:numPr>
        <w:ind w:left="1134" w:hanging="567"/>
      </w:pPr>
      <w:r w:rsidRPr="000B2561">
        <w:t>the ‘</w:t>
      </w:r>
      <w:r w:rsidR="006824A1" w:rsidRPr="000B2561">
        <w:rPr>
          <w:lang w:val="en-NZ"/>
        </w:rPr>
        <w:t xml:space="preserve">Stage 1 District Plan Review - Indigenous Biodiversity Section - Section 32 Evaluation’ dated 10 December 2017 </w:t>
      </w:r>
      <w:r w:rsidR="00F56F45" w:rsidRPr="000B2561">
        <w:t>(</w:t>
      </w:r>
      <w:r w:rsidR="006824A1" w:rsidRPr="000B2561">
        <w:t>“</w:t>
      </w:r>
      <w:r w:rsidR="00F56F45" w:rsidRPr="000B2561">
        <w:t>Section 32 Evaluation</w:t>
      </w:r>
      <w:r w:rsidR="000B2561" w:rsidRPr="000B2561">
        <w:t>”</w:t>
      </w:r>
      <w:r w:rsidR="00F56F45" w:rsidRPr="000B2561">
        <w:t>)</w:t>
      </w:r>
      <w:r w:rsidR="000B2561" w:rsidRPr="000B2561">
        <w:t>.</w:t>
      </w:r>
    </w:p>
    <w:p w14:paraId="4F4F9961" w14:textId="07805CEE" w:rsidR="00E511D4" w:rsidRPr="000B2561" w:rsidRDefault="00E511D4" w:rsidP="00D20038">
      <w:pPr>
        <w:pStyle w:val="ListParagraph"/>
        <w:spacing w:before="120"/>
        <w:ind w:left="567" w:hanging="567"/>
      </w:pPr>
      <w:r w:rsidRPr="000B2561">
        <w:t xml:space="preserve">My analysis and consideration of </w:t>
      </w:r>
      <w:r w:rsidR="00E322CF">
        <w:t>the matters raised in T</w:t>
      </w:r>
      <w:r w:rsidRPr="000B2561">
        <w:t>ranspower</w:t>
      </w:r>
      <w:r w:rsidR="00E322CF">
        <w:t>’s further submission (and the associated primary submissions)</w:t>
      </w:r>
      <w:r w:rsidRPr="000B2561">
        <w:t xml:space="preserve"> is informed by the statutory framework for decisions set out in the Resource Management Act 1991 (“RMA”) and the on-going guidance provided by the modified Long Bay test.</w:t>
      </w:r>
      <w:r w:rsidRPr="000B2561">
        <w:rPr>
          <w:rStyle w:val="FootnoteReference"/>
        </w:rPr>
        <w:footnoteReference w:id="1"/>
      </w:r>
      <w:r w:rsidRPr="000B2561">
        <w:t xml:space="preserve"> This statutory framework is </w:t>
      </w:r>
      <w:r w:rsidR="000B2561" w:rsidRPr="000B2561">
        <w:t>generally referred to in the Section 42A Report</w:t>
      </w:r>
      <w:r w:rsidRPr="000B2561">
        <w:t xml:space="preserve"> and I will not repeat it here.</w:t>
      </w:r>
    </w:p>
    <w:p w14:paraId="23BAC6AB" w14:textId="1C724BA1" w:rsidR="006B1574" w:rsidRPr="000B2561" w:rsidRDefault="000E5FA6" w:rsidP="00D20038">
      <w:pPr>
        <w:pStyle w:val="ListParagraph"/>
        <w:spacing w:before="120"/>
        <w:ind w:left="567" w:hanging="567"/>
      </w:pPr>
      <w:r w:rsidRPr="000B2561">
        <w:t xml:space="preserve">Where amendments to the provisions of the </w:t>
      </w:r>
      <w:r w:rsidR="00D24C0C" w:rsidRPr="000B2561">
        <w:t xml:space="preserve">Proposed </w:t>
      </w:r>
      <w:r w:rsidR="008B1FA2" w:rsidRPr="000B2561">
        <w:t>Plan Change</w:t>
      </w:r>
      <w:r w:rsidRPr="000B2561">
        <w:t xml:space="preserve"> are suggested in, and supported by, my evidence, these amendments are shown in </w:t>
      </w:r>
      <w:r w:rsidRPr="000B2561">
        <w:rPr>
          <w:b/>
          <w:bCs/>
          <w:i/>
          <w:iCs/>
          <w:color w:val="0070C0"/>
          <w:u w:val="double"/>
        </w:rPr>
        <w:t>blue</w:t>
      </w:r>
      <w:r w:rsidR="00601901" w:rsidRPr="000B2561">
        <w:t>.</w:t>
      </w:r>
    </w:p>
    <w:p w14:paraId="3851E5A2" w14:textId="20081CDA" w:rsidR="00B55A40" w:rsidRPr="00E322CF" w:rsidRDefault="00B55A40" w:rsidP="00B55A40">
      <w:pPr>
        <w:pStyle w:val="Heading2-nonumbers"/>
        <w:spacing w:after="280"/>
      </w:pPr>
      <w:bookmarkStart w:id="6" w:name="_Hlk23753675"/>
      <w:r w:rsidRPr="00E322CF">
        <w:t xml:space="preserve">The National Grid and Transpower’s assets in </w:t>
      </w:r>
      <w:r w:rsidR="008B1FA2" w:rsidRPr="00E322CF">
        <w:t>Mackenzie District</w:t>
      </w:r>
    </w:p>
    <w:p w14:paraId="377EB056" w14:textId="2CEBF9E0" w:rsidR="00B55A40" w:rsidRPr="00E322CF" w:rsidRDefault="00B55A40" w:rsidP="00D20038">
      <w:pPr>
        <w:pStyle w:val="ListParagraph"/>
        <w:ind w:left="567" w:hanging="567"/>
      </w:pPr>
      <w:r w:rsidRPr="00E322CF">
        <w:t>Transpower is the owner and operator of the National Grid. The National Grid is an extensive linear electricity transmission network that operates at a regional and national level and shifts electricity from the point of generation</w:t>
      </w:r>
      <w:r w:rsidR="00E322CF" w:rsidRPr="00E322CF">
        <w:t>, such as the Waitaki Power Scheme,</w:t>
      </w:r>
      <w:r w:rsidRPr="00E322CF">
        <w:t xml:space="preserve"> to substations feeding </w:t>
      </w:r>
      <w:bookmarkEnd w:id="6"/>
      <w:r w:rsidRPr="00E322CF">
        <w:t>the local networks that distribute electricity to home</w:t>
      </w:r>
      <w:r w:rsidR="000D121E">
        <w:t>s</w:t>
      </w:r>
      <w:r w:rsidRPr="00E322CF">
        <w:t xml:space="preserve"> and businesses.</w:t>
      </w:r>
    </w:p>
    <w:p w14:paraId="793A6564" w14:textId="483A3A0D" w:rsidR="00B55A40" w:rsidRPr="00E322CF" w:rsidRDefault="00B55A40" w:rsidP="00D20038">
      <w:pPr>
        <w:pStyle w:val="ListParagraph"/>
        <w:ind w:left="567" w:hanging="567"/>
      </w:pPr>
      <w:r w:rsidRPr="00E322CF">
        <w:t>The National Grid has operational requirements and engineering constraints that dictate and constrain where it is located and the way in which it is operated, maintained, upgraded and developed</w:t>
      </w:r>
      <w:r w:rsidR="00E322CF" w:rsidRPr="00E322CF">
        <w:t>, including the location of electricity generation</w:t>
      </w:r>
      <w:r w:rsidRPr="00E322CF">
        <w:t>.</w:t>
      </w:r>
    </w:p>
    <w:p w14:paraId="6FFD8B4D" w14:textId="30D883AD" w:rsidR="00B55A40" w:rsidRPr="00E322CF" w:rsidRDefault="00B55A40" w:rsidP="00D20038">
      <w:pPr>
        <w:pStyle w:val="ListParagraph"/>
        <w:ind w:left="567" w:hanging="567"/>
      </w:pPr>
      <w:r w:rsidRPr="00E322CF">
        <w:t xml:space="preserve">Transpower’s assets in </w:t>
      </w:r>
      <w:r w:rsidR="00E322CF" w:rsidRPr="00E322CF">
        <w:t>Mac</w:t>
      </w:r>
      <w:r w:rsidR="00E322CF">
        <w:t>k</w:t>
      </w:r>
      <w:r w:rsidR="00E322CF" w:rsidRPr="00E322CF">
        <w:t>enzie District</w:t>
      </w:r>
      <w:r w:rsidR="00D24C0C" w:rsidRPr="00E322CF">
        <w:t xml:space="preserve"> </w:t>
      </w:r>
      <w:r w:rsidRPr="00E322CF">
        <w:t>are</w:t>
      </w:r>
      <w:r w:rsidR="00465BA5" w:rsidRPr="00E322CF">
        <w:t xml:space="preserve"> as follows and as shown on the </w:t>
      </w:r>
      <w:r w:rsidR="00E322CF" w:rsidRPr="00E322CF">
        <w:t>map included as</w:t>
      </w:r>
      <w:r w:rsidR="00465BA5" w:rsidRPr="00E322CF">
        <w:t xml:space="preserve"> </w:t>
      </w:r>
      <w:r w:rsidR="00465BA5" w:rsidRPr="00E322CF">
        <w:rPr>
          <w:b/>
          <w:bCs/>
        </w:rPr>
        <w:t xml:space="preserve">Attachment </w:t>
      </w:r>
      <w:r w:rsidR="00E322CF" w:rsidRPr="00E322CF">
        <w:rPr>
          <w:b/>
          <w:bCs/>
        </w:rPr>
        <w:t>1</w:t>
      </w:r>
      <w:r w:rsidRPr="00E322CF">
        <w:t>:</w:t>
      </w:r>
    </w:p>
    <w:p w14:paraId="1133D096" w14:textId="77777777" w:rsidR="00E322CF" w:rsidRPr="00FF1455" w:rsidRDefault="00E322CF" w:rsidP="00E322CF">
      <w:pPr>
        <w:pStyle w:val="ListParagraph"/>
        <w:numPr>
          <w:ilvl w:val="1"/>
          <w:numId w:val="7"/>
        </w:numPr>
        <w:ind w:left="1134" w:hanging="567"/>
      </w:pPr>
      <w:r w:rsidRPr="00FF1455">
        <w:t>Benmore – Haywards A (BEN-HAY-A) 350kV HVDC overhead transmission line on towers;</w:t>
      </w:r>
    </w:p>
    <w:p w14:paraId="0BD5B308" w14:textId="77777777" w:rsidR="00E322CF" w:rsidRPr="00FF1455" w:rsidRDefault="00E322CF" w:rsidP="00E322CF">
      <w:pPr>
        <w:pStyle w:val="ListParagraph"/>
        <w:numPr>
          <w:ilvl w:val="1"/>
          <w:numId w:val="7"/>
        </w:numPr>
        <w:ind w:left="1134" w:hanging="567"/>
      </w:pPr>
      <w:r w:rsidRPr="00FF1455">
        <w:t>Benmore – Islington A (BEN-ISL-A) 220kV overhead transmission line on towers;</w:t>
      </w:r>
    </w:p>
    <w:p w14:paraId="2041F7A6" w14:textId="77777777" w:rsidR="00E322CF" w:rsidRPr="00FF1455" w:rsidRDefault="00E322CF" w:rsidP="00E322CF">
      <w:pPr>
        <w:pStyle w:val="ListParagraph"/>
        <w:numPr>
          <w:ilvl w:val="1"/>
          <w:numId w:val="7"/>
        </w:numPr>
        <w:ind w:left="1134" w:hanging="567"/>
      </w:pPr>
      <w:r w:rsidRPr="00FF1455">
        <w:t>Benmore – Twizel A (BEN-TWZ-A) 220kV overhead transmission line on towers;</w:t>
      </w:r>
    </w:p>
    <w:p w14:paraId="1DC6688F" w14:textId="77777777" w:rsidR="00E322CF" w:rsidRPr="00FF1455" w:rsidRDefault="00E322CF" w:rsidP="00E322CF">
      <w:pPr>
        <w:pStyle w:val="ListParagraph"/>
        <w:numPr>
          <w:ilvl w:val="1"/>
          <w:numId w:val="7"/>
        </w:numPr>
        <w:ind w:left="1134" w:hanging="567"/>
      </w:pPr>
      <w:r w:rsidRPr="00FF1455">
        <w:t>Christchurch – Twizel A (CHH-TWZ-A) 220kV overhead transmission line on towers;</w:t>
      </w:r>
    </w:p>
    <w:p w14:paraId="5FA5F3D7" w14:textId="77777777" w:rsidR="00E322CF" w:rsidRPr="00FF1455" w:rsidRDefault="00E322CF" w:rsidP="00E322CF">
      <w:pPr>
        <w:pStyle w:val="ListParagraph"/>
        <w:numPr>
          <w:ilvl w:val="1"/>
          <w:numId w:val="7"/>
        </w:numPr>
        <w:ind w:left="1134" w:hanging="567"/>
      </w:pPr>
      <w:proofErr w:type="spellStart"/>
      <w:r w:rsidRPr="00FF1455">
        <w:t>Ohau</w:t>
      </w:r>
      <w:proofErr w:type="spellEnd"/>
      <w:r w:rsidRPr="00FF1455">
        <w:t xml:space="preserve"> A – Twizel A (OHA-TWZ-A) 220kV overhead transmission line on towers;</w:t>
      </w:r>
    </w:p>
    <w:p w14:paraId="7C885A4A" w14:textId="77777777" w:rsidR="00E322CF" w:rsidRPr="00FF1455" w:rsidRDefault="00E322CF" w:rsidP="00E322CF">
      <w:pPr>
        <w:pStyle w:val="ListParagraph"/>
        <w:numPr>
          <w:ilvl w:val="1"/>
          <w:numId w:val="7"/>
        </w:numPr>
        <w:ind w:left="1134" w:hanging="567"/>
      </w:pPr>
      <w:r w:rsidRPr="00FF1455">
        <w:t>Roxburgh – Twizel A (ROX-TWZ-A) 220kV overhead transmission line on towers;</w:t>
      </w:r>
    </w:p>
    <w:p w14:paraId="15FCCB43" w14:textId="77777777" w:rsidR="00E322CF" w:rsidRPr="00FF1455" w:rsidRDefault="00E322CF" w:rsidP="00E322CF">
      <w:pPr>
        <w:pStyle w:val="ListParagraph"/>
        <w:numPr>
          <w:ilvl w:val="1"/>
          <w:numId w:val="7"/>
        </w:numPr>
        <w:ind w:left="1134" w:hanging="567"/>
      </w:pPr>
      <w:r w:rsidRPr="00FF1455">
        <w:t>Tekapo A – Timaru A (TKA-TIM-A) 110kV overhead transmission line on poles (including pi poles);</w:t>
      </w:r>
    </w:p>
    <w:p w14:paraId="1E0E7EEA" w14:textId="77777777" w:rsidR="00E322CF" w:rsidRPr="00FF1455" w:rsidRDefault="00E322CF" w:rsidP="00E322CF">
      <w:pPr>
        <w:pStyle w:val="ListParagraph"/>
        <w:numPr>
          <w:ilvl w:val="1"/>
          <w:numId w:val="7"/>
        </w:numPr>
        <w:ind w:left="1134" w:hanging="567"/>
      </w:pPr>
      <w:r w:rsidRPr="00FF1455">
        <w:t>Tekapo B – Deviation A (TKB-DEV-A) 220kV overhead transmission line on towers;</w:t>
      </w:r>
    </w:p>
    <w:p w14:paraId="2D27ABFA" w14:textId="77777777" w:rsidR="00E322CF" w:rsidRPr="00FF1455" w:rsidRDefault="00E322CF" w:rsidP="00E322CF">
      <w:pPr>
        <w:pStyle w:val="ListParagraph"/>
        <w:numPr>
          <w:ilvl w:val="1"/>
          <w:numId w:val="7"/>
        </w:numPr>
        <w:ind w:left="1134" w:hanging="567"/>
      </w:pPr>
      <w:r w:rsidRPr="00FF1455">
        <w:t>Twizel – Deviation A (TWZ-DEV-A) 220kV overhead transmission line on towers;</w:t>
      </w:r>
    </w:p>
    <w:p w14:paraId="65FD6EE8" w14:textId="77777777" w:rsidR="00E322CF" w:rsidRDefault="00E322CF" w:rsidP="00E322CF">
      <w:pPr>
        <w:pStyle w:val="ListParagraph"/>
        <w:numPr>
          <w:ilvl w:val="1"/>
          <w:numId w:val="7"/>
        </w:numPr>
        <w:ind w:left="1134" w:hanging="567"/>
      </w:pPr>
      <w:r>
        <w:t>Albury Substation;</w:t>
      </w:r>
    </w:p>
    <w:p w14:paraId="4694B95C" w14:textId="77777777" w:rsidR="00E322CF" w:rsidRDefault="00E322CF" w:rsidP="00E322CF">
      <w:pPr>
        <w:pStyle w:val="ListParagraph"/>
        <w:numPr>
          <w:ilvl w:val="1"/>
          <w:numId w:val="7"/>
        </w:numPr>
        <w:ind w:left="1134" w:hanging="567"/>
      </w:pPr>
      <w:proofErr w:type="spellStart"/>
      <w:r>
        <w:t>Ohau</w:t>
      </w:r>
      <w:proofErr w:type="spellEnd"/>
      <w:r>
        <w:t xml:space="preserve"> A Substation;</w:t>
      </w:r>
    </w:p>
    <w:p w14:paraId="5297DAA8" w14:textId="77777777" w:rsidR="00E322CF" w:rsidRDefault="00E322CF" w:rsidP="00E322CF">
      <w:pPr>
        <w:pStyle w:val="ListParagraph"/>
        <w:numPr>
          <w:ilvl w:val="1"/>
          <w:numId w:val="7"/>
        </w:numPr>
        <w:ind w:left="1134" w:hanging="567"/>
      </w:pPr>
      <w:r>
        <w:t>Tekapo A Substation;</w:t>
      </w:r>
    </w:p>
    <w:p w14:paraId="26AC4FE0" w14:textId="77777777" w:rsidR="00E322CF" w:rsidRDefault="00E322CF" w:rsidP="00E322CF">
      <w:pPr>
        <w:pStyle w:val="ListParagraph"/>
        <w:numPr>
          <w:ilvl w:val="1"/>
          <w:numId w:val="7"/>
        </w:numPr>
        <w:ind w:left="1134" w:hanging="567"/>
      </w:pPr>
      <w:r>
        <w:t xml:space="preserve">Tekapo B Substation; </w:t>
      </w:r>
    </w:p>
    <w:p w14:paraId="3B810CFB" w14:textId="77777777" w:rsidR="00E322CF" w:rsidRDefault="00E322CF" w:rsidP="00E322CF">
      <w:pPr>
        <w:pStyle w:val="ListParagraph"/>
        <w:numPr>
          <w:ilvl w:val="1"/>
          <w:numId w:val="7"/>
        </w:numPr>
        <w:ind w:left="1134" w:hanging="567"/>
      </w:pPr>
      <w:r>
        <w:t xml:space="preserve">Twizel Substation; and </w:t>
      </w:r>
    </w:p>
    <w:p w14:paraId="60DBD365" w14:textId="434FC1E4" w:rsidR="00E322CF" w:rsidRPr="005C07AD" w:rsidRDefault="00E322CF" w:rsidP="00E322CF">
      <w:pPr>
        <w:pStyle w:val="ListParagraph"/>
        <w:numPr>
          <w:ilvl w:val="1"/>
          <w:numId w:val="7"/>
        </w:numPr>
        <w:ind w:left="1134" w:hanging="567"/>
      </w:pPr>
      <w:r>
        <w:t>two communications sites (Mt Mary and Tekapo A).</w:t>
      </w:r>
    </w:p>
    <w:p w14:paraId="7D3C66A6" w14:textId="2447B084" w:rsidR="0099086D" w:rsidRPr="008B1EAE" w:rsidRDefault="003878C1" w:rsidP="0038135F">
      <w:pPr>
        <w:pStyle w:val="Heading2-nonumbers"/>
        <w:spacing w:after="280"/>
      </w:pPr>
      <w:r w:rsidRPr="008B1EAE">
        <w:t>The</w:t>
      </w:r>
      <w:r w:rsidR="0099086D" w:rsidRPr="008B1EAE">
        <w:t xml:space="preserve"> </w:t>
      </w:r>
      <w:r w:rsidR="00062237" w:rsidRPr="008B1EAE">
        <w:t>r</w:t>
      </w:r>
      <w:r w:rsidR="0099086D" w:rsidRPr="008B1EAE">
        <w:t xml:space="preserve">elevant </w:t>
      </w:r>
      <w:r w:rsidR="00062237" w:rsidRPr="008B1EAE">
        <w:t>s</w:t>
      </w:r>
      <w:r w:rsidR="0099086D" w:rsidRPr="008B1EAE">
        <w:t xml:space="preserve">tatutory </w:t>
      </w:r>
      <w:r w:rsidR="00062237" w:rsidRPr="008B1EAE">
        <w:t>f</w:t>
      </w:r>
      <w:r w:rsidR="0099086D" w:rsidRPr="008B1EAE">
        <w:t>ramework</w:t>
      </w:r>
    </w:p>
    <w:p w14:paraId="7721C1E8" w14:textId="5CAC322B" w:rsidR="0099086D" w:rsidRPr="008B1EAE" w:rsidRDefault="0099086D" w:rsidP="00DE4810">
      <w:pPr>
        <w:pStyle w:val="BodyText"/>
        <w:keepNext/>
        <w:rPr>
          <w:sz w:val="20"/>
          <w:u w:val="single"/>
          <w:lang w:val="en-GB" w:eastAsia="en-US"/>
        </w:rPr>
      </w:pPr>
      <w:r w:rsidRPr="008B1EAE">
        <w:rPr>
          <w:sz w:val="20"/>
          <w:u w:val="single"/>
          <w:lang w:val="en-GB" w:eastAsia="en-US"/>
        </w:rPr>
        <w:t>National Policy Statement on Electricity Transmission</w:t>
      </w:r>
      <w:r w:rsidR="00DE4810" w:rsidRPr="008B1EAE">
        <w:rPr>
          <w:sz w:val="20"/>
          <w:u w:val="single"/>
          <w:lang w:val="en-GB" w:eastAsia="en-US"/>
        </w:rPr>
        <w:t xml:space="preserve"> 2008</w:t>
      </w:r>
    </w:p>
    <w:p w14:paraId="3A662872" w14:textId="4139E425" w:rsidR="0099086D" w:rsidRPr="008B1EAE" w:rsidRDefault="00DE4810" w:rsidP="00D20038">
      <w:pPr>
        <w:pStyle w:val="ListParagraph"/>
        <w:ind w:left="567" w:hanging="567"/>
      </w:pPr>
      <w:r w:rsidRPr="008B1EAE">
        <w:t>The national significance of the National Grid is recognised, in the context of the RMA, by the NPSET.</w:t>
      </w:r>
    </w:p>
    <w:p w14:paraId="64F23BC0" w14:textId="68C2D654" w:rsidR="00DE4810" w:rsidRPr="00D51A9F" w:rsidRDefault="00DE4810" w:rsidP="00D20038">
      <w:pPr>
        <w:pStyle w:val="ListParagraph"/>
        <w:ind w:left="567" w:hanging="567"/>
      </w:pPr>
      <w:r w:rsidRPr="00D51A9F">
        <w:t xml:space="preserve">Section 75(3) of the RMA requires district plans to “give effect to” the NPSET. The requirement to “give effect to” is a strong statutory directive compared to other </w:t>
      </w:r>
      <w:r w:rsidR="00917A1E" w:rsidRPr="00D51A9F">
        <w:t xml:space="preserve">directives in the RMA and was interpreted in the </w:t>
      </w:r>
      <w:r w:rsidR="00917A1E" w:rsidRPr="00D51A9F">
        <w:rPr>
          <w:i/>
          <w:iCs/>
        </w:rPr>
        <w:t xml:space="preserve">EDS </w:t>
      </w:r>
      <w:r w:rsidR="00917A1E" w:rsidRPr="00D51A9F">
        <w:t xml:space="preserve">v </w:t>
      </w:r>
      <w:r w:rsidR="00917A1E" w:rsidRPr="00D51A9F">
        <w:rPr>
          <w:i/>
          <w:iCs/>
        </w:rPr>
        <w:t xml:space="preserve">New Zealand King Salmon </w:t>
      </w:r>
      <w:r w:rsidR="00917A1E" w:rsidRPr="00D51A9F">
        <w:t>Supreme Court case as meaning “to implement”.</w:t>
      </w:r>
      <w:r w:rsidR="00917A1E" w:rsidRPr="00D51A9F">
        <w:rPr>
          <w:rStyle w:val="FootnoteReference"/>
        </w:rPr>
        <w:footnoteReference w:id="2"/>
      </w:r>
    </w:p>
    <w:p w14:paraId="15A541D7" w14:textId="0D6374DA" w:rsidR="00917A1E" w:rsidRPr="00D51A9F" w:rsidRDefault="00917A1E" w:rsidP="00D20038">
      <w:pPr>
        <w:pStyle w:val="ListParagraph"/>
        <w:ind w:left="567" w:hanging="567"/>
      </w:pPr>
      <w:r w:rsidRPr="00D51A9F">
        <w:t>The Preamble</w:t>
      </w:r>
      <w:r w:rsidRPr="00D51A9F">
        <w:rPr>
          <w:rStyle w:val="FootnoteReference"/>
        </w:rPr>
        <w:footnoteReference w:id="3"/>
      </w:r>
      <w:r w:rsidRPr="00D51A9F">
        <w:t xml:space="preserve"> to the NPSET describes the rationale for the NPSET. It states that </w:t>
      </w:r>
      <w:r w:rsidRPr="00D51A9F">
        <w:rPr>
          <w:i/>
          <w:iCs/>
        </w:rPr>
        <w:t>“the efficient transmission of electricity on the National Grid plays a vital role in the well-being of New Zealand, its people and the environment”</w:t>
      </w:r>
      <w:r w:rsidRPr="00D51A9F">
        <w:t xml:space="preserve">. The Preamble notes that the National Grid has </w:t>
      </w:r>
      <w:proofErr w:type="gramStart"/>
      <w:r w:rsidRPr="00D51A9F">
        <w:t>particular physical</w:t>
      </w:r>
      <w:proofErr w:type="gramEnd"/>
      <w:r w:rsidRPr="00D51A9F">
        <w:t xml:space="preserve"> characteristics and operational/security requirements that have been challenging to manage under the RMA. It also acknowledges the potential significance of some effects of transmission lines (including the inability for these to be avoided or mitigated</w:t>
      </w:r>
      <w:r w:rsidR="00D51A9F" w:rsidRPr="00D51A9F">
        <w:t>)</w:t>
      </w:r>
      <w:r w:rsidRPr="00D51A9F">
        <w:t>. It notes that adverse effects are experienced at the local level, while benefits are regional or national, requiring a balanced consideration of effects and recognises the importance of consistent policy and regulatory approaches by local authorities.</w:t>
      </w:r>
    </w:p>
    <w:p w14:paraId="5412FFD8" w14:textId="5580CEB9" w:rsidR="00917A1E" w:rsidRPr="00D51A9F" w:rsidRDefault="00917A1E" w:rsidP="00D51A9F">
      <w:pPr>
        <w:pStyle w:val="ListParagraph"/>
        <w:ind w:left="567" w:hanging="567"/>
      </w:pPr>
      <w:r w:rsidRPr="00D51A9F">
        <w:t>The NPSET has a single Objective as follows:</w:t>
      </w:r>
    </w:p>
    <w:p w14:paraId="3939CDF6" w14:textId="77777777" w:rsidR="00917A1E" w:rsidRPr="00D51A9F" w:rsidRDefault="00917A1E" w:rsidP="00D51A9F">
      <w:pPr>
        <w:pStyle w:val="ListParagraph"/>
        <w:numPr>
          <w:ilvl w:val="0"/>
          <w:numId w:val="0"/>
        </w:numPr>
        <w:ind w:left="567"/>
        <w:rPr>
          <w:i/>
          <w:iCs/>
        </w:rPr>
      </w:pPr>
      <w:r w:rsidRPr="00D51A9F">
        <w:rPr>
          <w:i/>
          <w:iCs/>
        </w:rPr>
        <w:t>“</w:t>
      </w:r>
      <w:bookmarkStart w:id="7" w:name="_Hlk43311605"/>
      <w:r w:rsidRPr="00D51A9F">
        <w:rPr>
          <w:i/>
          <w:iCs/>
        </w:rPr>
        <w:t>To recognise the national significance of the electricity transmission network by facilitating the operation, maintenance and upgrade of the existing transmission network and the establishment of new transmissio</w:t>
      </w:r>
      <w:bookmarkEnd w:id="7"/>
      <w:r w:rsidRPr="00D51A9F">
        <w:rPr>
          <w:i/>
          <w:iCs/>
        </w:rPr>
        <w:t>n resources to meet the needs of present and future generations, while:</w:t>
      </w:r>
    </w:p>
    <w:p w14:paraId="6B794DE1" w14:textId="6EA11BF1" w:rsidR="00917A1E" w:rsidRPr="00D51A9F" w:rsidRDefault="00917A1E" w:rsidP="00D51A9F">
      <w:pPr>
        <w:pStyle w:val="ListParagraph"/>
        <w:numPr>
          <w:ilvl w:val="0"/>
          <w:numId w:val="0"/>
        </w:numPr>
        <w:ind w:left="1134" w:hanging="567"/>
        <w:rPr>
          <w:i/>
          <w:iCs/>
        </w:rPr>
      </w:pPr>
      <w:r w:rsidRPr="00D51A9F">
        <w:rPr>
          <w:i/>
          <w:iCs/>
        </w:rPr>
        <w:t>-</w:t>
      </w:r>
      <w:r w:rsidRPr="00D51A9F">
        <w:rPr>
          <w:i/>
          <w:iCs/>
        </w:rPr>
        <w:tab/>
        <w:t>Managing the adverse environmental effects of the network; and</w:t>
      </w:r>
    </w:p>
    <w:p w14:paraId="4A96A7E0" w14:textId="3607B91A" w:rsidR="00917A1E" w:rsidRPr="00D51A9F" w:rsidRDefault="00917A1E" w:rsidP="00D51A9F">
      <w:pPr>
        <w:spacing w:after="120"/>
        <w:ind w:left="1134" w:hanging="567"/>
        <w:rPr>
          <w:i/>
          <w:iCs/>
          <w:sz w:val="20"/>
        </w:rPr>
      </w:pPr>
      <w:r w:rsidRPr="00D51A9F">
        <w:rPr>
          <w:i/>
          <w:iCs/>
          <w:sz w:val="20"/>
        </w:rPr>
        <w:t>-</w:t>
      </w:r>
      <w:r w:rsidRPr="00D51A9F">
        <w:rPr>
          <w:i/>
          <w:iCs/>
          <w:sz w:val="20"/>
        </w:rPr>
        <w:tab/>
        <w:t>Managing the adverse effects of other activities on the network.”</w:t>
      </w:r>
    </w:p>
    <w:p w14:paraId="0C4B5C66" w14:textId="29751611" w:rsidR="00917A1E" w:rsidRPr="00D51A9F" w:rsidRDefault="00917A1E" w:rsidP="00D20038">
      <w:pPr>
        <w:pStyle w:val="ListParagraph"/>
        <w:spacing w:before="120"/>
        <w:ind w:left="567" w:hanging="567"/>
      </w:pPr>
      <w:r w:rsidRPr="00D51A9F">
        <w:t xml:space="preserve">The Objective is supported by 14 Policies. </w:t>
      </w:r>
      <w:r w:rsidR="00E647B0" w:rsidRPr="00D51A9F">
        <w:t xml:space="preserve">The following Policies are relevant to obligations the NPSET places on decision-makers in the context of </w:t>
      </w:r>
      <w:r w:rsidR="003B3522" w:rsidRPr="00D51A9F">
        <w:t>Transpower’s</w:t>
      </w:r>
      <w:r w:rsidR="00D51A9F" w:rsidRPr="00D51A9F">
        <w:t xml:space="preserve"> further </w:t>
      </w:r>
      <w:r w:rsidR="003B3522" w:rsidRPr="00D51A9F">
        <w:t xml:space="preserve">submission on </w:t>
      </w:r>
      <w:r w:rsidR="00D51A9F" w:rsidRPr="00D51A9F">
        <w:t>the Proposed Plan Change</w:t>
      </w:r>
      <w:r w:rsidR="003B3522" w:rsidRPr="00D51A9F">
        <w:t>:</w:t>
      </w:r>
    </w:p>
    <w:p w14:paraId="44730969" w14:textId="6B19E799" w:rsidR="00E647B0" w:rsidRPr="00D51A9F" w:rsidRDefault="00E647B0" w:rsidP="00865856">
      <w:pPr>
        <w:pStyle w:val="ListParagraph"/>
        <w:numPr>
          <w:ilvl w:val="1"/>
          <w:numId w:val="7"/>
        </w:numPr>
        <w:ind w:left="1134" w:hanging="567"/>
      </w:pPr>
      <w:r w:rsidRPr="00D51A9F">
        <w:rPr>
          <w:i/>
          <w:iCs/>
        </w:rPr>
        <w:t>“… decision-makers must recognise and provide for the national, regional and local benefits of sustainable, secure and efficient electricity transmission. …”</w:t>
      </w:r>
      <w:r w:rsidRPr="00D51A9F">
        <w:t xml:space="preserve"> (Policy 1);</w:t>
      </w:r>
    </w:p>
    <w:p w14:paraId="4BEF57F3" w14:textId="6DE0FB69" w:rsidR="00E647B0" w:rsidRPr="00D51A9F" w:rsidRDefault="00E647B0" w:rsidP="00865856">
      <w:pPr>
        <w:pStyle w:val="ListParagraph"/>
        <w:numPr>
          <w:ilvl w:val="1"/>
          <w:numId w:val="7"/>
        </w:numPr>
        <w:ind w:left="1134" w:hanging="567"/>
      </w:pPr>
      <w:r w:rsidRPr="00D51A9F">
        <w:rPr>
          <w:i/>
          <w:iCs/>
        </w:rPr>
        <w:t>“… decision-makers must recognise and provide for the effective operation, maintenance, upgrading and development of the electricity transmission network.”</w:t>
      </w:r>
      <w:r w:rsidRPr="00D51A9F">
        <w:t xml:space="preserve"> (Policy 2);</w:t>
      </w:r>
    </w:p>
    <w:p w14:paraId="1EDB9055" w14:textId="2BDD8FC3" w:rsidR="00E647B0" w:rsidRPr="00D51A9F" w:rsidRDefault="00E647B0" w:rsidP="00865856">
      <w:pPr>
        <w:pStyle w:val="ListParagraph"/>
        <w:numPr>
          <w:ilvl w:val="1"/>
          <w:numId w:val="7"/>
        </w:numPr>
        <w:ind w:left="1134" w:hanging="567"/>
      </w:pPr>
      <w:r w:rsidRPr="00D51A9F">
        <w:rPr>
          <w:i/>
          <w:iCs/>
        </w:rPr>
        <w:t>“When considering measures to avoid, remedy or mitigate adverse environmental effects of transmission activities, decision-makers must consider the constraints imposed on achieving those measures by the technical and operational requirements of the network.”</w:t>
      </w:r>
      <w:r w:rsidRPr="00D51A9F">
        <w:t xml:space="preserve"> (Policy 3);</w:t>
      </w:r>
    </w:p>
    <w:p w14:paraId="372F18A8" w14:textId="49F1C465" w:rsidR="006C7704" w:rsidRPr="00D51A9F" w:rsidRDefault="00E647B0" w:rsidP="008E0317">
      <w:pPr>
        <w:pStyle w:val="ListParagraph"/>
        <w:numPr>
          <w:ilvl w:val="1"/>
          <w:numId w:val="7"/>
        </w:numPr>
        <w:ind w:left="1134" w:hanging="567"/>
      </w:pPr>
      <w:r w:rsidRPr="00FA6489">
        <w:rPr>
          <w:i/>
          <w:iCs/>
        </w:rPr>
        <w:t xml:space="preserve">“… decision-makers must enable the reasonable operational, maintenance and minor upgrade requirements of established electricity transmission assets” </w:t>
      </w:r>
      <w:r w:rsidRPr="00D51A9F">
        <w:t>when considering environmental effects associated with transmission activities (Policy 5);</w:t>
      </w:r>
      <w:r w:rsidR="00FA6489">
        <w:t xml:space="preserve"> a</w:t>
      </w:r>
      <w:r w:rsidR="006C7704" w:rsidRPr="00D51A9F">
        <w:t>nd</w:t>
      </w:r>
    </w:p>
    <w:p w14:paraId="2A32F839" w14:textId="5B083579" w:rsidR="006C7704" w:rsidRDefault="006C7704" w:rsidP="00865856">
      <w:pPr>
        <w:pStyle w:val="ListParagraph"/>
        <w:numPr>
          <w:ilvl w:val="1"/>
          <w:numId w:val="7"/>
        </w:numPr>
        <w:ind w:left="1134" w:hanging="567"/>
      </w:pPr>
      <w:r w:rsidRPr="00D51A9F">
        <w:rPr>
          <w:i/>
          <w:iCs/>
        </w:rPr>
        <w:t>“should seek to avoid the adverse effects on outstanding natural landscapes, areas of high natural character and areas of high recreational value and amenity and existing sensitive activities</w:t>
      </w:r>
      <w:r w:rsidRPr="00D51A9F">
        <w:t>” (Policy 8).</w:t>
      </w:r>
    </w:p>
    <w:p w14:paraId="64F85A8A" w14:textId="7D28BD06" w:rsidR="00FA6489" w:rsidRPr="00FA6489" w:rsidRDefault="00FA6489" w:rsidP="000B681A">
      <w:pPr>
        <w:pStyle w:val="ListParagraph"/>
        <w:keepNext/>
        <w:numPr>
          <w:ilvl w:val="0"/>
          <w:numId w:val="0"/>
        </w:numPr>
      </w:pPr>
      <w:r>
        <w:rPr>
          <w:u w:val="single"/>
        </w:rPr>
        <w:t>Resource Management (National Environmental Standards for Electricity Transmission Activities) Regulations 2009</w:t>
      </w:r>
    </w:p>
    <w:p w14:paraId="0363A7DF" w14:textId="4BBF8D8A" w:rsidR="00FA6489" w:rsidRDefault="00FA6489" w:rsidP="008E0317">
      <w:pPr>
        <w:pStyle w:val="ListParagraph"/>
        <w:ind w:left="567" w:hanging="567"/>
      </w:pPr>
      <w:r>
        <w:t>The national significance of the National Grid is also recognised by the NESETA that establishes a national regulatory framework for activities related to existing National Grid transmission lines, including the removal of vegetation. Many of Transpower’s activities are expressly permitted or controlled by the NESETA.</w:t>
      </w:r>
    </w:p>
    <w:p w14:paraId="13E2CFB3" w14:textId="54C6E7AA" w:rsidR="00FA6489" w:rsidRPr="00D51A9F" w:rsidRDefault="00FA6489" w:rsidP="008E0317">
      <w:pPr>
        <w:pStyle w:val="ListParagraph"/>
        <w:ind w:left="567" w:hanging="567"/>
      </w:pPr>
      <w:r>
        <w:t>Every local authority and consent authority must observe these national</w:t>
      </w:r>
      <w:r w:rsidR="000B681A">
        <w:t xml:space="preserve"> </w:t>
      </w:r>
      <w:r>
        <w:t>standards. Local authorities must ensure that plans</w:t>
      </w:r>
      <w:r w:rsidR="000B681A">
        <w:t xml:space="preserve"> </w:t>
      </w:r>
      <w:r>
        <w:t>do</w:t>
      </w:r>
      <w:r w:rsidR="000B681A">
        <w:t xml:space="preserve"> </w:t>
      </w:r>
      <w:r>
        <w:t>not include rules that are stricter, or more lenient, than those covered by the</w:t>
      </w:r>
      <w:r w:rsidR="000B681A">
        <w:t xml:space="preserve"> </w:t>
      </w:r>
      <w:r>
        <w:t>NESETA.</w:t>
      </w:r>
      <w:r w:rsidR="000B681A" w:rsidRPr="000B681A">
        <w:rPr>
          <w:rStyle w:val="FootnoteReference"/>
        </w:rPr>
        <w:t xml:space="preserve"> </w:t>
      </w:r>
      <w:r w:rsidR="000B681A">
        <w:rPr>
          <w:rStyle w:val="FootnoteReference"/>
        </w:rPr>
        <w:footnoteReference w:id="4"/>
      </w:r>
    </w:p>
    <w:p w14:paraId="68A2799D" w14:textId="2E966C3F" w:rsidR="003878C1" w:rsidRPr="00D51A9F" w:rsidRDefault="003878C1" w:rsidP="000B681A">
      <w:pPr>
        <w:pStyle w:val="ListParagraph"/>
        <w:numPr>
          <w:ilvl w:val="0"/>
          <w:numId w:val="0"/>
        </w:numPr>
        <w:rPr>
          <w:u w:val="single"/>
        </w:rPr>
      </w:pPr>
      <w:r w:rsidRPr="00D51A9F">
        <w:rPr>
          <w:u w:val="single"/>
        </w:rPr>
        <w:t xml:space="preserve">The </w:t>
      </w:r>
      <w:r w:rsidR="00D51A9F" w:rsidRPr="00D51A9F">
        <w:rPr>
          <w:u w:val="single"/>
        </w:rPr>
        <w:t>Canterbury</w:t>
      </w:r>
      <w:r w:rsidRPr="00D51A9F">
        <w:rPr>
          <w:u w:val="single"/>
        </w:rPr>
        <w:t xml:space="preserve"> Regional Policy Statement 201</w:t>
      </w:r>
      <w:r w:rsidR="00D51A9F" w:rsidRPr="00D51A9F">
        <w:rPr>
          <w:u w:val="single"/>
        </w:rPr>
        <w:t>3</w:t>
      </w:r>
    </w:p>
    <w:p w14:paraId="53394242" w14:textId="712F59C7" w:rsidR="00A91A5C" w:rsidRPr="00D51A9F" w:rsidRDefault="000D2788" w:rsidP="00D20038">
      <w:pPr>
        <w:pStyle w:val="ListParagraph"/>
        <w:ind w:left="567" w:hanging="567"/>
      </w:pPr>
      <w:r w:rsidRPr="00D51A9F">
        <w:t xml:space="preserve">As for the NPSET, section 75(3) of the RMA requires the District Plan to give effect to the </w:t>
      </w:r>
      <w:r w:rsidR="00D51A9F" w:rsidRPr="00D51A9F">
        <w:t>C</w:t>
      </w:r>
      <w:r w:rsidR="00A91A5C" w:rsidRPr="00D51A9F">
        <w:t>RPS</w:t>
      </w:r>
      <w:r w:rsidRPr="00D51A9F">
        <w:t>.</w:t>
      </w:r>
      <w:r w:rsidR="001C23A4" w:rsidRPr="00D51A9F">
        <w:t xml:space="preserve"> </w:t>
      </w:r>
    </w:p>
    <w:p w14:paraId="2521AA36" w14:textId="5B4B2904" w:rsidR="0099086D" w:rsidRPr="00D51A9F" w:rsidRDefault="001C23A4" w:rsidP="00D20038">
      <w:pPr>
        <w:pStyle w:val="ListParagraph"/>
        <w:ind w:left="567" w:hanging="567"/>
      </w:pPr>
      <w:r w:rsidRPr="00D51A9F">
        <w:t xml:space="preserve">The </w:t>
      </w:r>
      <w:r w:rsidR="00D51A9F" w:rsidRPr="00D51A9F">
        <w:t xml:space="preserve">CRPS identifies the National Grid as regionally significant infrastructure and includes </w:t>
      </w:r>
      <w:r w:rsidR="000D121E">
        <w:t xml:space="preserve">a policy </w:t>
      </w:r>
      <w:r w:rsidR="00A91A5C" w:rsidRPr="00D51A9F">
        <w:t>that specifically relates to the National Grid as follows:</w:t>
      </w:r>
    </w:p>
    <w:p w14:paraId="1B1FA146" w14:textId="2AB72AA6" w:rsidR="00D51A9F" w:rsidRPr="00984C91" w:rsidRDefault="00D51A9F" w:rsidP="00D51A9F">
      <w:pPr>
        <w:pStyle w:val="ListParagraph"/>
        <w:numPr>
          <w:ilvl w:val="0"/>
          <w:numId w:val="0"/>
        </w:numPr>
        <w:ind w:left="567"/>
        <w:rPr>
          <w:i/>
          <w:iCs/>
        </w:rPr>
      </w:pPr>
      <w:r w:rsidRPr="00984C91">
        <w:rPr>
          <w:i/>
          <w:iCs/>
        </w:rPr>
        <w:t>“</w:t>
      </w:r>
      <w:r w:rsidRPr="00984C91">
        <w:rPr>
          <w:b/>
          <w:bCs/>
          <w:i/>
          <w:iCs/>
        </w:rPr>
        <w:t>16.3.4 Reliable and resilient electricity transmission network within Canterbury</w:t>
      </w:r>
    </w:p>
    <w:p w14:paraId="277AB52D" w14:textId="77777777" w:rsidR="00D51A9F" w:rsidRPr="00984C91" w:rsidRDefault="00D51A9F" w:rsidP="00984C91">
      <w:pPr>
        <w:pStyle w:val="ListParagraph"/>
        <w:numPr>
          <w:ilvl w:val="0"/>
          <w:numId w:val="0"/>
        </w:numPr>
        <w:ind w:left="567"/>
        <w:rPr>
          <w:i/>
          <w:iCs/>
        </w:rPr>
      </w:pPr>
      <w:r w:rsidRPr="00984C91">
        <w:rPr>
          <w:i/>
          <w:iCs/>
        </w:rPr>
        <w:t>To encourage a reliable and resilient national electricity transmission network within Canterbury by:</w:t>
      </w:r>
    </w:p>
    <w:p w14:paraId="78517F6C" w14:textId="78A56BD1" w:rsidR="00D51A9F" w:rsidRPr="00984C91" w:rsidRDefault="00D51A9F" w:rsidP="00984C91">
      <w:pPr>
        <w:pStyle w:val="ListParagraph"/>
        <w:numPr>
          <w:ilvl w:val="0"/>
          <w:numId w:val="0"/>
        </w:numPr>
        <w:ind w:left="1134" w:hanging="567"/>
        <w:rPr>
          <w:i/>
          <w:iCs/>
        </w:rPr>
      </w:pPr>
      <w:r w:rsidRPr="00984C91">
        <w:rPr>
          <w:i/>
          <w:iCs/>
        </w:rPr>
        <w:t>1.</w:t>
      </w:r>
      <w:r w:rsidR="00984C91" w:rsidRPr="00984C91">
        <w:rPr>
          <w:i/>
          <w:iCs/>
        </w:rPr>
        <w:tab/>
      </w:r>
      <w:r w:rsidRPr="00984C91">
        <w:rPr>
          <w:i/>
          <w:iCs/>
        </w:rPr>
        <w:t xml:space="preserve">having </w:t>
      </w:r>
      <w:proofErr w:type="gramStart"/>
      <w:r w:rsidRPr="00984C91">
        <w:rPr>
          <w:i/>
          <w:iCs/>
        </w:rPr>
        <w:t>particular regard</w:t>
      </w:r>
      <w:proofErr w:type="gramEnd"/>
      <w:r w:rsidRPr="00984C91">
        <w:rPr>
          <w:i/>
          <w:iCs/>
        </w:rPr>
        <w:t xml:space="preserve"> to the local, regional and national benefits when considering operation,</w:t>
      </w:r>
      <w:r w:rsidR="00984C91" w:rsidRPr="00984C91">
        <w:rPr>
          <w:i/>
          <w:iCs/>
        </w:rPr>
        <w:t xml:space="preserve"> </w:t>
      </w:r>
      <w:r w:rsidRPr="00984C91">
        <w:rPr>
          <w:i/>
          <w:iCs/>
        </w:rPr>
        <w:t>maintenance, upgrade or development of the electricity transmission network;</w:t>
      </w:r>
    </w:p>
    <w:p w14:paraId="0C178E96" w14:textId="21A02EAA" w:rsidR="00D51A9F" w:rsidRPr="00984C91" w:rsidRDefault="00D51A9F" w:rsidP="00984C91">
      <w:pPr>
        <w:pStyle w:val="ListParagraph"/>
        <w:numPr>
          <w:ilvl w:val="0"/>
          <w:numId w:val="0"/>
        </w:numPr>
        <w:ind w:left="1134" w:hanging="567"/>
        <w:rPr>
          <w:i/>
          <w:iCs/>
        </w:rPr>
      </w:pPr>
      <w:r w:rsidRPr="00984C91">
        <w:rPr>
          <w:i/>
          <w:iCs/>
        </w:rPr>
        <w:t xml:space="preserve">2. </w:t>
      </w:r>
      <w:r w:rsidR="00984C91" w:rsidRPr="00984C91">
        <w:rPr>
          <w:i/>
          <w:iCs/>
        </w:rPr>
        <w:tab/>
      </w:r>
      <w:r w:rsidRPr="00984C91">
        <w:rPr>
          <w:i/>
          <w:iCs/>
        </w:rPr>
        <w:t>avoiding subdivision, use and development including urban or semi urban development</w:t>
      </w:r>
      <w:r w:rsidR="00984C91" w:rsidRPr="00984C91">
        <w:rPr>
          <w:i/>
          <w:iCs/>
        </w:rPr>
        <w:t xml:space="preserve"> </w:t>
      </w:r>
      <w:r w:rsidRPr="00984C91">
        <w:rPr>
          <w:i/>
          <w:iCs/>
        </w:rPr>
        <w:t>patterns, which would otherwise limit the ability of the electricity transmission network to be</w:t>
      </w:r>
      <w:r w:rsidR="00984C91" w:rsidRPr="00984C91">
        <w:rPr>
          <w:i/>
          <w:iCs/>
        </w:rPr>
        <w:t xml:space="preserve"> </w:t>
      </w:r>
      <w:r w:rsidRPr="00984C91">
        <w:rPr>
          <w:i/>
          <w:iCs/>
        </w:rPr>
        <w:t>operated, maintained, upgraded and developed;</w:t>
      </w:r>
    </w:p>
    <w:p w14:paraId="02E7DF2F" w14:textId="3860237B" w:rsidR="00D51A9F" w:rsidRPr="00984C91" w:rsidRDefault="00D51A9F" w:rsidP="00984C91">
      <w:pPr>
        <w:pStyle w:val="ListParagraph"/>
        <w:numPr>
          <w:ilvl w:val="0"/>
          <w:numId w:val="0"/>
        </w:numPr>
        <w:ind w:left="1134" w:hanging="567"/>
        <w:rPr>
          <w:i/>
          <w:iCs/>
        </w:rPr>
      </w:pPr>
      <w:r w:rsidRPr="00984C91">
        <w:rPr>
          <w:i/>
          <w:iCs/>
        </w:rPr>
        <w:t xml:space="preserve">3. </w:t>
      </w:r>
      <w:r w:rsidR="00984C91" w:rsidRPr="00984C91">
        <w:rPr>
          <w:i/>
          <w:iCs/>
        </w:rPr>
        <w:tab/>
      </w:r>
      <w:r w:rsidRPr="00984C91">
        <w:rPr>
          <w:i/>
          <w:iCs/>
        </w:rPr>
        <w:t>enabling the operational, maintenance, upgrade, and development of the electricity</w:t>
      </w:r>
      <w:r w:rsidR="00984C91" w:rsidRPr="00984C91">
        <w:rPr>
          <w:i/>
          <w:iCs/>
        </w:rPr>
        <w:t xml:space="preserve"> </w:t>
      </w:r>
      <w:r w:rsidRPr="00984C91">
        <w:rPr>
          <w:i/>
          <w:iCs/>
        </w:rPr>
        <w:t>transmission network provided that, as a result of route, site and method selection, where;</w:t>
      </w:r>
    </w:p>
    <w:p w14:paraId="39F37BB9" w14:textId="58BC0876" w:rsidR="00D51A9F" w:rsidRPr="00984C91" w:rsidRDefault="00D51A9F" w:rsidP="00984C91">
      <w:pPr>
        <w:pStyle w:val="ListParagraph"/>
        <w:numPr>
          <w:ilvl w:val="0"/>
          <w:numId w:val="0"/>
        </w:numPr>
        <w:ind w:left="1701" w:hanging="567"/>
        <w:rPr>
          <w:i/>
          <w:iCs/>
        </w:rPr>
      </w:pPr>
      <w:r w:rsidRPr="00984C91">
        <w:rPr>
          <w:i/>
          <w:iCs/>
        </w:rPr>
        <w:t xml:space="preserve">a. </w:t>
      </w:r>
      <w:r w:rsidR="00984C91" w:rsidRPr="00984C91">
        <w:rPr>
          <w:i/>
          <w:iCs/>
        </w:rPr>
        <w:tab/>
      </w:r>
      <w:r w:rsidRPr="00984C91">
        <w:rPr>
          <w:i/>
          <w:iCs/>
        </w:rPr>
        <w:t>the adverse effects on significant natural and physical resources or cultural values</w:t>
      </w:r>
      <w:r w:rsidR="00984C91" w:rsidRPr="00984C91">
        <w:rPr>
          <w:i/>
          <w:iCs/>
        </w:rPr>
        <w:t xml:space="preserve"> </w:t>
      </w:r>
      <w:r w:rsidRPr="00984C91">
        <w:rPr>
          <w:i/>
          <w:iCs/>
        </w:rPr>
        <w:t>are avoided, or where this is not practicable, remedied or mitigated; and</w:t>
      </w:r>
    </w:p>
    <w:p w14:paraId="0F2DF5B2" w14:textId="0A5A3052" w:rsidR="00D51A9F" w:rsidRPr="00984C91" w:rsidRDefault="00D51A9F" w:rsidP="00984C91">
      <w:pPr>
        <w:pStyle w:val="ListParagraph"/>
        <w:numPr>
          <w:ilvl w:val="0"/>
          <w:numId w:val="0"/>
        </w:numPr>
        <w:ind w:left="1701" w:hanging="567"/>
        <w:rPr>
          <w:i/>
          <w:iCs/>
        </w:rPr>
      </w:pPr>
      <w:r w:rsidRPr="00984C91">
        <w:rPr>
          <w:i/>
          <w:iCs/>
        </w:rPr>
        <w:t xml:space="preserve">b. </w:t>
      </w:r>
      <w:r w:rsidR="00984C91" w:rsidRPr="00984C91">
        <w:rPr>
          <w:i/>
          <w:iCs/>
        </w:rPr>
        <w:tab/>
      </w:r>
      <w:r w:rsidRPr="00984C91">
        <w:rPr>
          <w:i/>
          <w:iCs/>
        </w:rPr>
        <w:t>other adverse effects on the environment are appropriately controlled.</w:t>
      </w:r>
      <w:r w:rsidR="00984C91" w:rsidRPr="00984C91">
        <w:rPr>
          <w:i/>
          <w:iCs/>
        </w:rPr>
        <w:t>”</w:t>
      </w:r>
    </w:p>
    <w:p w14:paraId="3C87DDAD" w14:textId="64E948BD" w:rsidR="00D51A9F" w:rsidRPr="00FA6489" w:rsidRDefault="00984C91" w:rsidP="008E0317">
      <w:pPr>
        <w:pStyle w:val="ListParagraph"/>
        <w:ind w:left="567" w:hanging="567"/>
      </w:pPr>
      <w:r w:rsidRPr="00FA6489">
        <w:t>The CRPS directs territorial authorities to, amongst other matters, “</w:t>
      </w:r>
      <w:r w:rsidR="00D51A9F" w:rsidRPr="00FA6489">
        <w:rPr>
          <w:i/>
          <w:iCs/>
        </w:rPr>
        <w:t>enable the operation, maintenance, upgrade and development of the national</w:t>
      </w:r>
      <w:r w:rsidRPr="00FA6489">
        <w:rPr>
          <w:i/>
          <w:iCs/>
        </w:rPr>
        <w:t xml:space="preserve"> </w:t>
      </w:r>
      <w:r w:rsidR="00D51A9F" w:rsidRPr="00FA6489">
        <w:rPr>
          <w:i/>
          <w:iCs/>
        </w:rPr>
        <w:t>electricity transmission network, while avoiding or mitigating adverse effects on</w:t>
      </w:r>
      <w:r w:rsidRPr="00FA6489">
        <w:rPr>
          <w:i/>
          <w:iCs/>
        </w:rPr>
        <w:t xml:space="preserve"> </w:t>
      </w:r>
      <w:r w:rsidR="00D51A9F" w:rsidRPr="00FA6489">
        <w:rPr>
          <w:i/>
          <w:iCs/>
        </w:rPr>
        <w:t>the environment identified in Policy 3.4(3)(a) - (b) above and appropriately</w:t>
      </w:r>
      <w:r w:rsidRPr="00FA6489">
        <w:rPr>
          <w:i/>
          <w:iCs/>
        </w:rPr>
        <w:t xml:space="preserve"> </w:t>
      </w:r>
      <w:r w:rsidR="00D51A9F" w:rsidRPr="00FA6489">
        <w:rPr>
          <w:i/>
          <w:iCs/>
        </w:rPr>
        <w:t>controlling other adverse effects as referred to in Policy 16.3.4(3)(b)</w:t>
      </w:r>
      <w:r w:rsidRPr="00FA6489">
        <w:t>”</w:t>
      </w:r>
      <w:r w:rsidR="00D51A9F" w:rsidRPr="00FA6489">
        <w:t>.</w:t>
      </w:r>
    </w:p>
    <w:p w14:paraId="22150179" w14:textId="4ACDAC58" w:rsidR="00FF2459" w:rsidRPr="00FA6489" w:rsidRDefault="00A91A5C" w:rsidP="00984C91">
      <w:pPr>
        <w:pStyle w:val="ListParagraph"/>
        <w:spacing w:before="120"/>
        <w:ind w:left="567" w:hanging="567"/>
      </w:pPr>
      <w:r w:rsidRPr="00FA6489">
        <w:t xml:space="preserve">In respect of </w:t>
      </w:r>
      <w:r w:rsidR="00984C91" w:rsidRPr="00FA6489">
        <w:t>ecosystems and indigenous biodiversity</w:t>
      </w:r>
      <w:r w:rsidRPr="00FA6489">
        <w:t xml:space="preserve">, </w:t>
      </w:r>
      <w:r w:rsidR="00984C91" w:rsidRPr="00FA6489">
        <w:t>the Section 42A Report</w:t>
      </w:r>
      <w:r w:rsidR="00984C91" w:rsidRPr="00FA6489">
        <w:rPr>
          <w:rStyle w:val="FootnoteReference"/>
        </w:rPr>
        <w:footnoteReference w:id="5"/>
      </w:r>
      <w:r w:rsidR="00984C91" w:rsidRPr="00FA6489">
        <w:t xml:space="preserve"> describes</w:t>
      </w:r>
      <w:r w:rsidR="000B681A">
        <w:t xml:space="preserve"> in detail</w:t>
      </w:r>
      <w:r w:rsidR="00984C91" w:rsidRPr="00FA6489">
        <w:t xml:space="preserve"> the relevant provisions of Chapter 9 of the CRPS</w:t>
      </w:r>
      <w:r w:rsidR="000B681A">
        <w:t xml:space="preserve">, </w:t>
      </w:r>
      <w:r w:rsidR="00FA6489" w:rsidRPr="00FA6489">
        <w:t>and I do not repeat them here.</w:t>
      </w:r>
      <w:r w:rsidR="00984C91" w:rsidRPr="00FA6489">
        <w:t xml:space="preserve"> </w:t>
      </w:r>
    </w:p>
    <w:p w14:paraId="170459AB" w14:textId="02EC0551" w:rsidR="003538C3" w:rsidRPr="00FA6489" w:rsidRDefault="00A91A5C" w:rsidP="008A0353">
      <w:pPr>
        <w:pStyle w:val="ListParagraph"/>
        <w:spacing w:before="120"/>
        <w:ind w:left="567" w:hanging="567"/>
      </w:pPr>
      <w:r w:rsidRPr="00FA6489">
        <w:t xml:space="preserve">In my opinion, </w:t>
      </w:r>
      <w:r w:rsidR="000B681A">
        <w:t>Policy 16.3.4</w:t>
      </w:r>
      <w:r w:rsidR="0038135F">
        <w:t>,</w:t>
      </w:r>
      <w:r w:rsidR="000B681A">
        <w:t xml:space="preserve"> along with the provisions in Chapter 9</w:t>
      </w:r>
      <w:r w:rsidR="0038135F">
        <w:t>,</w:t>
      </w:r>
      <w:r w:rsidR="000B681A">
        <w:t xml:space="preserve"> of the CRPS</w:t>
      </w:r>
      <w:r w:rsidRPr="00FA6489">
        <w:t xml:space="preserve"> are the most relevant and pivotal to the consideration of Transpower</w:t>
      </w:r>
      <w:r w:rsidR="00FA6489" w:rsidRPr="00FA6489">
        <w:t>’s further submission and the related primary submissions.</w:t>
      </w:r>
      <w:r w:rsidRPr="00FA6489">
        <w:t xml:space="preserve"> </w:t>
      </w:r>
      <w:r w:rsidR="003538C3" w:rsidRPr="00FA6489">
        <w:t xml:space="preserve">The remainder of my evidence </w:t>
      </w:r>
      <w:r w:rsidR="00865856" w:rsidRPr="00FA6489">
        <w:t>addresses</w:t>
      </w:r>
      <w:r w:rsidR="003538C3" w:rsidRPr="00FA6489">
        <w:t xml:space="preserve"> </w:t>
      </w:r>
      <w:r w:rsidR="000B681A">
        <w:t>the relief sought in these submissions</w:t>
      </w:r>
      <w:r w:rsidR="003F3D3E" w:rsidRPr="00FA6489">
        <w:t xml:space="preserve">. </w:t>
      </w:r>
    </w:p>
    <w:p w14:paraId="258DA624" w14:textId="154DFB0F" w:rsidR="007E0C7E" w:rsidRPr="00E84F3A" w:rsidRDefault="00E84F3A" w:rsidP="008613B9">
      <w:pPr>
        <w:pStyle w:val="Heading2-nonumbers"/>
        <w:spacing w:after="280"/>
      </w:pPr>
      <w:r w:rsidRPr="00E84F3A">
        <w:t>Biodiversity – New Objective</w:t>
      </w:r>
    </w:p>
    <w:p w14:paraId="2BD36132" w14:textId="48FB207B" w:rsidR="00E84F3A" w:rsidRDefault="00E84F3A" w:rsidP="0038135F">
      <w:pPr>
        <w:pStyle w:val="ListParagraph"/>
        <w:ind w:left="567" w:hanging="567"/>
      </w:pPr>
      <w:r w:rsidRPr="00E84F3A">
        <w:t>Transpower’s further submission supports the primary submission</w:t>
      </w:r>
      <w:r w:rsidR="00DD4108">
        <w:t>s</w:t>
      </w:r>
      <w:r w:rsidRPr="00E84F3A">
        <w:t xml:space="preserve"> of Genesis Energy Limited </w:t>
      </w:r>
      <w:r w:rsidR="002A69DE">
        <w:t xml:space="preserve">(“Genesis”) </w:t>
      </w:r>
      <w:r w:rsidR="00DD4108">
        <w:t xml:space="preserve">and Meridian Energy Limited </w:t>
      </w:r>
      <w:r w:rsidR="002A69DE">
        <w:t xml:space="preserve">(“Meridian”) </w:t>
      </w:r>
      <w:r>
        <w:t>that seek</w:t>
      </w:r>
      <w:r w:rsidRPr="00E84F3A">
        <w:t xml:space="preserve"> the inclusion of a new objective </w:t>
      </w:r>
      <w:r w:rsidR="00596D99">
        <w:t xml:space="preserve">in </w:t>
      </w:r>
      <w:r w:rsidR="00671D4E">
        <w:t>Section</w:t>
      </w:r>
      <w:r w:rsidR="00596D99">
        <w:t xml:space="preserve"> 19 </w:t>
      </w:r>
      <w:r>
        <w:t>in respect of</w:t>
      </w:r>
      <w:r w:rsidRPr="00E84F3A">
        <w:t xml:space="preserve"> activities associated with the Waitaki Power Scheme. Transpower seeks that the submission be allowed, with the </w:t>
      </w:r>
      <w:r w:rsidR="007543E9">
        <w:t>submitters</w:t>
      </w:r>
      <w:r>
        <w:t xml:space="preserve">’ </w:t>
      </w:r>
      <w:r w:rsidRPr="00E84F3A">
        <w:t>relief amended to also include reference to the National Grid.</w:t>
      </w:r>
    </w:p>
    <w:p w14:paraId="4C1264AD" w14:textId="2F69D2B7" w:rsidR="00E84F3A" w:rsidRDefault="00E84F3A" w:rsidP="00D20038">
      <w:pPr>
        <w:pStyle w:val="ListParagraph"/>
        <w:ind w:left="567" w:hanging="567"/>
      </w:pPr>
      <w:r>
        <w:t xml:space="preserve">The Section 42A Report </w:t>
      </w:r>
      <w:r w:rsidR="00596D99">
        <w:t>concludes:</w:t>
      </w:r>
    </w:p>
    <w:p w14:paraId="09C57D11" w14:textId="1BC6C731" w:rsidR="00596D99" w:rsidRDefault="00596D99" w:rsidP="00596D99">
      <w:pPr>
        <w:pStyle w:val="ListParagraph"/>
        <w:numPr>
          <w:ilvl w:val="0"/>
          <w:numId w:val="0"/>
        </w:numPr>
        <w:ind w:left="567"/>
      </w:pPr>
      <w:r w:rsidRPr="00596D99">
        <w:rPr>
          <w:i/>
          <w:iCs/>
        </w:rPr>
        <w:t>“In my view the policies and related rules in Chapter 19 are intended to achieve both the objectives in Section 7 and those in Section 19. Having considered the existing objectives in the MDP, and in particular Rural Objectives 3B and 11, I do not consider an additional objective relating to either the WPS more broadly, or in relation to clearance related to the WPS, to be necessary to include in Section 19.”</w:t>
      </w:r>
      <w:r>
        <w:rPr>
          <w:rStyle w:val="FootnoteReference"/>
        </w:rPr>
        <w:footnoteReference w:id="6"/>
      </w:r>
    </w:p>
    <w:p w14:paraId="17E4ECD4" w14:textId="49176603" w:rsidR="00E84F3A" w:rsidRPr="002A69DE" w:rsidRDefault="006D26A2" w:rsidP="00D20038">
      <w:pPr>
        <w:pStyle w:val="ListParagraph"/>
        <w:ind w:left="567" w:hanging="567"/>
      </w:pPr>
      <w:r>
        <w:t xml:space="preserve">I </w:t>
      </w:r>
      <w:r w:rsidRPr="002A69DE">
        <w:t xml:space="preserve">agree with the conclusion reached in the Section 42A Report and am </w:t>
      </w:r>
      <w:r w:rsidR="0038135F">
        <w:t xml:space="preserve">also </w:t>
      </w:r>
      <w:r w:rsidRPr="002A69DE">
        <w:t xml:space="preserve">of the view that </w:t>
      </w:r>
      <w:r w:rsidR="007543E9">
        <w:t>o</w:t>
      </w:r>
      <w:r w:rsidRPr="002A69DE">
        <w:t>bjectives can be implemented by provisions located in different parts of a district plan. I particularly note that Objective 3B includes a broad outcome “</w:t>
      </w:r>
      <w:r w:rsidRPr="002A69DE">
        <w:rPr>
          <w:i/>
          <w:iCs/>
        </w:rPr>
        <w:t>To maintain and develop structures and works for the Waitaki Power Scheme’</w:t>
      </w:r>
      <w:r w:rsidRPr="002A69DE">
        <w:t>. This is generally consistent with the enablement of activities for the Waitaki Power Scheme</w:t>
      </w:r>
      <w:r w:rsidR="002A69DE" w:rsidRPr="002A69DE">
        <w:t xml:space="preserve"> sought in the submission</w:t>
      </w:r>
      <w:r w:rsidR="007543E9">
        <w:t>s</w:t>
      </w:r>
      <w:r w:rsidR="002A69DE" w:rsidRPr="002A69DE">
        <w:t xml:space="preserve"> albeit without more specific content in respect of indigenous vegetation clearance.</w:t>
      </w:r>
    </w:p>
    <w:p w14:paraId="445754CB" w14:textId="62E234F6" w:rsidR="006D26A2" w:rsidRPr="00C60878" w:rsidRDefault="00DD4108" w:rsidP="008613B9">
      <w:pPr>
        <w:spacing w:before="120" w:line="260" w:lineRule="atLeast"/>
        <w:rPr>
          <w:b/>
          <w:bCs/>
        </w:rPr>
      </w:pPr>
      <w:r w:rsidRPr="00C60878">
        <w:rPr>
          <w:b/>
          <w:bCs/>
        </w:rPr>
        <w:t>Biodiversity Policy 2</w:t>
      </w:r>
    </w:p>
    <w:p w14:paraId="12855877" w14:textId="6B8F5DD0" w:rsidR="00DD4108" w:rsidRPr="00C60878" w:rsidRDefault="00DD4108" w:rsidP="0038135F">
      <w:pPr>
        <w:pStyle w:val="ListParagraph"/>
        <w:ind w:left="567" w:hanging="567"/>
      </w:pPr>
      <w:r w:rsidRPr="00C60878">
        <w:t xml:space="preserve">Transpower’s further submission supports </w:t>
      </w:r>
      <w:r w:rsidR="002A69DE" w:rsidRPr="00C60878">
        <w:t xml:space="preserve">in part </w:t>
      </w:r>
      <w:r w:rsidRPr="00C60878">
        <w:t xml:space="preserve">the primary submission </w:t>
      </w:r>
      <w:r w:rsidR="007543E9">
        <w:t>made by</w:t>
      </w:r>
      <w:r w:rsidRPr="00C60878">
        <w:t xml:space="preserve"> Genesis Energy Limited </w:t>
      </w:r>
      <w:r w:rsidR="00C60878" w:rsidRPr="00C60878">
        <w:t>that seek</w:t>
      </w:r>
      <w:r w:rsidR="007543E9">
        <w:t>s</w:t>
      </w:r>
      <w:r w:rsidR="00C60878" w:rsidRPr="00C60878">
        <w:t xml:space="preserve"> the following amendments to Policy 2</w:t>
      </w:r>
      <w:r w:rsidR="002A69DE" w:rsidRPr="00C60878">
        <w:t>:</w:t>
      </w:r>
    </w:p>
    <w:p w14:paraId="4EC98D0E" w14:textId="77777777" w:rsidR="00C60878" w:rsidRPr="00C60878" w:rsidRDefault="00C60878" w:rsidP="00C60878">
      <w:pPr>
        <w:pStyle w:val="ListParagraph"/>
        <w:numPr>
          <w:ilvl w:val="0"/>
          <w:numId w:val="0"/>
        </w:numPr>
        <w:ind w:left="1134" w:hanging="567"/>
        <w:rPr>
          <w:i/>
          <w:iCs/>
          <w:strike/>
        </w:rPr>
      </w:pPr>
      <w:r w:rsidRPr="00C60878">
        <w:rPr>
          <w:i/>
          <w:iCs/>
        </w:rPr>
        <w:t>“2.</w:t>
      </w:r>
      <w:r w:rsidRPr="00C60878">
        <w:rPr>
          <w:i/>
          <w:iCs/>
        </w:rPr>
        <w:tab/>
        <w:t xml:space="preserve">To avoid, remedy or mitigate, adverse effects </w:t>
      </w:r>
      <w:r w:rsidRPr="00C60878">
        <w:rPr>
          <w:i/>
          <w:iCs/>
          <w:u w:val="single"/>
        </w:rPr>
        <w:t>of land use activities</w:t>
      </w:r>
      <w:r w:rsidRPr="00C60878">
        <w:rPr>
          <w:i/>
          <w:iCs/>
        </w:rPr>
        <w:t xml:space="preserve"> on </w:t>
      </w:r>
      <w:r w:rsidRPr="00C60878">
        <w:rPr>
          <w:i/>
          <w:iCs/>
          <w:strike/>
        </w:rPr>
        <w:t xml:space="preserve">the natural character and </w:t>
      </w:r>
      <w:r w:rsidRPr="00C60878">
        <w:rPr>
          <w:i/>
          <w:iCs/>
          <w:u w:val="single"/>
        </w:rPr>
        <w:t>significant indigenous vegetation and significant habitats of indigenous fauna in</w:t>
      </w:r>
      <w:r w:rsidRPr="00C60878">
        <w:rPr>
          <w:i/>
          <w:iCs/>
        </w:rPr>
        <w:t xml:space="preserve"> </w:t>
      </w:r>
      <w:r w:rsidRPr="00C60878">
        <w:rPr>
          <w:i/>
          <w:iCs/>
          <w:strike/>
        </w:rPr>
        <w:t>indigenous land and water ecosystems functions in</w:t>
      </w:r>
      <w:r w:rsidRPr="00C60878">
        <w:rPr>
          <w:i/>
          <w:iCs/>
        </w:rPr>
        <w:t xml:space="preserve"> the District</w:t>
      </w:r>
      <w:r w:rsidRPr="00C60878">
        <w:rPr>
          <w:i/>
          <w:iCs/>
          <w:strike/>
        </w:rPr>
        <w:t xml:space="preserve"> including:</w:t>
      </w:r>
    </w:p>
    <w:p w14:paraId="2535275B" w14:textId="77777777" w:rsidR="00C60878" w:rsidRPr="00C60878" w:rsidRDefault="00C60878" w:rsidP="00C60878">
      <w:pPr>
        <w:pStyle w:val="ListParagraph"/>
        <w:numPr>
          <w:ilvl w:val="0"/>
          <w:numId w:val="0"/>
        </w:numPr>
        <w:ind w:left="1134" w:hanging="567"/>
        <w:rPr>
          <w:i/>
          <w:iCs/>
          <w:strike/>
        </w:rPr>
      </w:pPr>
      <w:r w:rsidRPr="00C60878">
        <w:rPr>
          <w:i/>
          <w:iCs/>
          <w:strike/>
        </w:rPr>
        <w:t>a)</w:t>
      </w:r>
      <w:r w:rsidRPr="00C60878">
        <w:rPr>
          <w:i/>
          <w:iCs/>
          <w:strike/>
        </w:rPr>
        <w:tab/>
        <w:t xml:space="preserve"> Landform, physical processes and hydrology</w:t>
      </w:r>
    </w:p>
    <w:p w14:paraId="03339CAA" w14:textId="77777777" w:rsidR="00C60878" w:rsidRPr="00C60878" w:rsidRDefault="00C60878" w:rsidP="00C60878">
      <w:pPr>
        <w:pStyle w:val="ListParagraph"/>
        <w:numPr>
          <w:ilvl w:val="0"/>
          <w:numId w:val="0"/>
        </w:numPr>
        <w:ind w:left="1134" w:hanging="567"/>
        <w:rPr>
          <w:i/>
          <w:iCs/>
          <w:strike/>
        </w:rPr>
      </w:pPr>
      <w:r w:rsidRPr="00C60878">
        <w:rPr>
          <w:i/>
          <w:iCs/>
          <w:strike/>
        </w:rPr>
        <w:t>b)</w:t>
      </w:r>
      <w:r w:rsidRPr="00C60878">
        <w:rPr>
          <w:i/>
          <w:iCs/>
          <w:strike/>
        </w:rPr>
        <w:tab/>
        <w:t>Remaining areas of significant indigenous vegetation and habitat, and linkages between these areas</w:t>
      </w:r>
    </w:p>
    <w:p w14:paraId="6E0DC79F" w14:textId="77777777" w:rsidR="00C60878" w:rsidRPr="00C60878" w:rsidRDefault="00C60878" w:rsidP="00C60878">
      <w:pPr>
        <w:pStyle w:val="ListParagraph"/>
        <w:numPr>
          <w:ilvl w:val="0"/>
          <w:numId w:val="0"/>
        </w:numPr>
        <w:ind w:left="1134" w:hanging="567"/>
        <w:rPr>
          <w:i/>
          <w:iCs/>
        </w:rPr>
      </w:pPr>
      <w:r w:rsidRPr="00C60878">
        <w:rPr>
          <w:i/>
          <w:iCs/>
          <w:strike/>
        </w:rPr>
        <w:t>c)</w:t>
      </w:r>
      <w:r w:rsidRPr="00C60878">
        <w:rPr>
          <w:i/>
          <w:iCs/>
          <w:strike/>
        </w:rPr>
        <w:tab/>
        <w:t>Aquatic habitat and water quality and quantity</w:t>
      </w:r>
      <w:r w:rsidRPr="00C60878">
        <w:rPr>
          <w:i/>
          <w:iCs/>
        </w:rPr>
        <w:t>.</w:t>
      </w:r>
    </w:p>
    <w:p w14:paraId="588D5BB1" w14:textId="21B022DD" w:rsidR="002A69DE" w:rsidRPr="00C60878" w:rsidRDefault="00C60878" w:rsidP="00C60878">
      <w:pPr>
        <w:pStyle w:val="ListParagraph"/>
        <w:numPr>
          <w:ilvl w:val="0"/>
          <w:numId w:val="0"/>
        </w:numPr>
        <w:ind w:left="1134" w:hanging="567"/>
        <w:rPr>
          <w:i/>
          <w:iCs/>
        </w:rPr>
      </w:pPr>
      <w:r w:rsidRPr="00C60878">
        <w:rPr>
          <w:i/>
          <w:iCs/>
          <w:u w:val="single"/>
        </w:rPr>
        <w:t>2A.</w:t>
      </w:r>
      <w:r w:rsidRPr="00C60878">
        <w:rPr>
          <w:i/>
          <w:iCs/>
          <w:u w:val="single"/>
        </w:rPr>
        <w:tab/>
        <w:t>To manage, or offset or compensate, actual or potential effects of the use, development and protection of land to maintain indigenous biological diversity in the District.</w:t>
      </w:r>
      <w:r w:rsidRPr="00C60878">
        <w:rPr>
          <w:i/>
          <w:iCs/>
        </w:rPr>
        <w:t>”</w:t>
      </w:r>
    </w:p>
    <w:p w14:paraId="7070C90D" w14:textId="00B91699" w:rsidR="00C60878" w:rsidRPr="00C60878" w:rsidRDefault="00C60878" w:rsidP="00D20038">
      <w:pPr>
        <w:pStyle w:val="ListParagraph"/>
        <w:ind w:left="567" w:hanging="567"/>
      </w:pPr>
      <w:r w:rsidRPr="00C60878">
        <w:t>Transpower’s further submission generally support the proposed amendments to Policy 2 but seeks that new clause 2A be amended to refer to offsetting and compensation being proposed or agreed to by an applica</w:t>
      </w:r>
      <w:r w:rsidR="00EE424C">
        <w:t>nt</w:t>
      </w:r>
      <w:r w:rsidRPr="00C60878">
        <w:t>.</w:t>
      </w:r>
    </w:p>
    <w:p w14:paraId="2E0E5E50" w14:textId="79558743" w:rsidR="007543E9" w:rsidRDefault="007543E9" w:rsidP="00F91520">
      <w:pPr>
        <w:pStyle w:val="ListParagraph"/>
        <w:ind w:left="567" w:hanging="567"/>
      </w:pPr>
      <w:r>
        <w:t xml:space="preserve">Transpower’s further submission also supports the primary submission made by </w:t>
      </w:r>
      <w:r w:rsidRPr="00C60878">
        <w:t xml:space="preserve">Meridian </w:t>
      </w:r>
      <w:r>
        <w:t xml:space="preserve">that seeks similar amendments to Policy 2 but does not </w:t>
      </w:r>
      <w:proofErr w:type="gramStart"/>
      <w:r>
        <w:t>make reference</w:t>
      </w:r>
      <w:proofErr w:type="gramEnd"/>
      <w:r>
        <w:t xml:space="preserve"> to offsetting or compensating </w:t>
      </w:r>
      <w:r w:rsidR="003D2AEC">
        <w:t xml:space="preserve">for </w:t>
      </w:r>
      <w:r>
        <w:t>adverse effects.</w:t>
      </w:r>
      <w:r w:rsidRPr="00C60878">
        <w:t xml:space="preserve"> </w:t>
      </w:r>
    </w:p>
    <w:p w14:paraId="1C4142FF" w14:textId="451E550B" w:rsidR="00DE0C87" w:rsidRDefault="00F91520" w:rsidP="00DE0C87">
      <w:pPr>
        <w:pStyle w:val="ListParagraph"/>
        <w:ind w:left="567" w:hanging="567"/>
      </w:pPr>
      <w:r>
        <w:t>The Section 42A Report</w:t>
      </w:r>
      <w:r w:rsidR="00DE0C87">
        <w:t xml:space="preserve"> recommends </w:t>
      </w:r>
      <w:r w:rsidR="008A4D82">
        <w:t>substantial</w:t>
      </w:r>
      <w:r w:rsidR="00DE0C87">
        <w:t xml:space="preserve"> changes to the biodiversity policy </w:t>
      </w:r>
      <w:proofErr w:type="gramStart"/>
      <w:r w:rsidR="00DE0C87">
        <w:t>framework as a whole, as</w:t>
      </w:r>
      <w:proofErr w:type="gramEnd"/>
      <w:r w:rsidR="00DE0C87">
        <w:t xml:space="preserve"> follows:</w:t>
      </w:r>
    </w:p>
    <w:p w14:paraId="76CDBC98" w14:textId="4849D4F4" w:rsidR="00F91520" w:rsidRPr="00DE0C87" w:rsidRDefault="00DE0C87" w:rsidP="00DE0C87">
      <w:pPr>
        <w:pStyle w:val="ListParagraph"/>
        <w:numPr>
          <w:ilvl w:val="0"/>
          <w:numId w:val="0"/>
        </w:numPr>
        <w:ind w:left="567"/>
        <w:rPr>
          <w:i/>
          <w:iCs/>
        </w:rPr>
      </w:pPr>
      <w:r w:rsidRPr="00DE0C87">
        <w:rPr>
          <w:i/>
          <w:iCs/>
        </w:rPr>
        <w:t>“</w:t>
      </w:r>
      <w:r w:rsidR="007543E9" w:rsidRPr="00DE0C87">
        <w:rPr>
          <w:i/>
          <w:iCs/>
        </w:rPr>
        <w:t>Because overall my view aligns with those submitters seeking substantive changes to</w:t>
      </w:r>
      <w:r w:rsidRPr="00DE0C87">
        <w:rPr>
          <w:i/>
          <w:iCs/>
        </w:rPr>
        <w:t xml:space="preserve"> </w:t>
      </w:r>
      <w:r w:rsidR="007543E9" w:rsidRPr="00DE0C87">
        <w:rPr>
          <w:i/>
          <w:iCs/>
        </w:rPr>
        <w:t>the policy, including its deletion and replacement with a policy that focuses on how</w:t>
      </w:r>
      <w:r w:rsidRPr="00DE0C87">
        <w:rPr>
          <w:i/>
          <w:iCs/>
        </w:rPr>
        <w:t xml:space="preserve"> </w:t>
      </w:r>
      <w:r w:rsidR="007543E9" w:rsidRPr="00DE0C87">
        <w:rPr>
          <w:i/>
          <w:iCs/>
        </w:rPr>
        <w:t>adverse effects are managed, I note that there is the potential for overlap with Policies</w:t>
      </w:r>
      <w:r w:rsidRPr="00DE0C87">
        <w:rPr>
          <w:i/>
          <w:iCs/>
        </w:rPr>
        <w:t xml:space="preserve"> </w:t>
      </w:r>
      <w:r w:rsidR="007543E9" w:rsidRPr="00DE0C87">
        <w:rPr>
          <w:i/>
          <w:iCs/>
        </w:rPr>
        <w:t>3 and 5, in relation to significant areas. I therefore recommend, that the matters set out</w:t>
      </w:r>
      <w:r w:rsidRPr="00DE0C87">
        <w:rPr>
          <w:i/>
          <w:iCs/>
        </w:rPr>
        <w:t xml:space="preserve"> </w:t>
      </w:r>
      <w:r w:rsidR="007543E9" w:rsidRPr="00DE0C87">
        <w:rPr>
          <w:i/>
          <w:iCs/>
        </w:rPr>
        <w:t>above pertaining to significant areas are captured in policies 3 and 5 instead. I</w:t>
      </w:r>
      <w:r w:rsidRPr="00DE0C87">
        <w:rPr>
          <w:i/>
          <w:iCs/>
        </w:rPr>
        <w:t xml:space="preserve"> </w:t>
      </w:r>
      <w:r w:rsidR="007543E9" w:rsidRPr="00DE0C87">
        <w:rPr>
          <w:i/>
          <w:iCs/>
        </w:rPr>
        <w:t>recommend that Policy 2 is, in effect, deleted and replaced with a policy setting out how</w:t>
      </w:r>
      <w:r w:rsidRPr="00DE0C87">
        <w:rPr>
          <w:i/>
          <w:iCs/>
        </w:rPr>
        <w:t xml:space="preserve"> </w:t>
      </w:r>
      <w:r w:rsidR="007543E9" w:rsidRPr="00DE0C87">
        <w:rPr>
          <w:i/>
          <w:iCs/>
        </w:rPr>
        <w:t>effects on non-significant areas are to be managed. The recommended policy is based</w:t>
      </w:r>
      <w:r w:rsidRPr="00DE0C87">
        <w:rPr>
          <w:i/>
          <w:iCs/>
        </w:rPr>
        <w:t xml:space="preserve"> </w:t>
      </w:r>
      <w:r w:rsidR="007543E9" w:rsidRPr="00DE0C87">
        <w:rPr>
          <w:i/>
          <w:iCs/>
        </w:rPr>
        <w:t>on that suggested by EDS, those components of the notified policy that I consider are</w:t>
      </w:r>
      <w:r w:rsidRPr="00DE0C87">
        <w:rPr>
          <w:i/>
          <w:iCs/>
        </w:rPr>
        <w:t xml:space="preserve"> </w:t>
      </w:r>
      <w:r w:rsidR="007543E9" w:rsidRPr="00DE0C87">
        <w:rPr>
          <w:i/>
          <w:iCs/>
        </w:rPr>
        <w:t xml:space="preserve">important to </w:t>
      </w:r>
      <w:proofErr w:type="gramStart"/>
      <w:r w:rsidR="007543E9" w:rsidRPr="00DE0C87">
        <w:rPr>
          <w:i/>
          <w:iCs/>
        </w:rPr>
        <w:t>retain, and</w:t>
      </w:r>
      <w:proofErr w:type="gramEnd"/>
      <w:r w:rsidR="007543E9" w:rsidRPr="00DE0C87">
        <w:rPr>
          <w:i/>
          <w:iCs/>
        </w:rPr>
        <w:t xml:space="preserve"> taking into account CRC’s broader comments about providing</w:t>
      </w:r>
      <w:r w:rsidRPr="00DE0C87">
        <w:rPr>
          <w:i/>
          <w:iCs/>
        </w:rPr>
        <w:t xml:space="preserve"> </w:t>
      </w:r>
      <w:r w:rsidR="007543E9" w:rsidRPr="00DE0C87">
        <w:rPr>
          <w:i/>
          <w:iCs/>
        </w:rPr>
        <w:t>clearer direction on how significant and non-significant areas are to be managed. While</w:t>
      </w:r>
      <w:r w:rsidRPr="00DE0C87">
        <w:rPr>
          <w:i/>
          <w:iCs/>
        </w:rPr>
        <w:t xml:space="preserve"> </w:t>
      </w:r>
      <w:r w:rsidR="007543E9" w:rsidRPr="00DE0C87">
        <w:rPr>
          <w:i/>
          <w:iCs/>
        </w:rPr>
        <w:t xml:space="preserve">it is different to the wording sought by Meridian and </w:t>
      </w:r>
      <w:proofErr w:type="gramStart"/>
      <w:r w:rsidR="007543E9" w:rsidRPr="00DE0C87">
        <w:rPr>
          <w:i/>
          <w:iCs/>
        </w:rPr>
        <w:t>Genesis</w:t>
      </w:r>
      <w:proofErr w:type="gramEnd"/>
      <w:r w:rsidR="007543E9" w:rsidRPr="00DE0C87">
        <w:rPr>
          <w:i/>
          <w:iCs/>
        </w:rPr>
        <w:t xml:space="preserve"> I consider it generally aligns</w:t>
      </w:r>
      <w:r w:rsidRPr="00DE0C87">
        <w:rPr>
          <w:i/>
          <w:iCs/>
        </w:rPr>
        <w:t xml:space="preserve"> </w:t>
      </w:r>
      <w:r w:rsidR="007543E9" w:rsidRPr="00DE0C87">
        <w:rPr>
          <w:i/>
          <w:iCs/>
        </w:rPr>
        <w:t>with the intent of their submissions.</w:t>
      </w:r>
      <w:r w:rsidRPr="00DE0C87">
        <w:rPr>
          <w:i/>
          <w:iCs/>
        </w:rPr>
        <w:t>”</w:t>
      </w:r>
      <w:r w:rsidRPr="00DE0C87">
        <w:rPr>
          <w:rStyle w:val="FootnoteReference"/>
          <w:i/>
          <w:iCs/>
        </w:rPr>
        <w:footnoteReference w:id="7"/>
      </w:r>
    </w:p>
    <w:p w14:paraId="3C71F4CF" w14:textId="73AA1939" w:rsidR="00283AE8" w:rsidRDefault="00283AE8" w:rsidP="00390CB4">
      <w:pPr>
        <w:pStyle w:val="ListParagraph"/>
        <w:ind w:left="567" w:hanging="567"/>
      </w:pPr>
      <w:r>
        <w:t>I have reviewed the provisions</w:t>
      </w:r>
      <w:r w:rsidR="008227DC">
        <w:t xml:space="preserve"> as recommended in the Section 42A Report, in so far as they relate to the management of adverse effects on significant indigenous vegetation and significant habitats of indigenous fauna</w:t>
      </w:r>
      <w:r w:rsidR="00390CB4">
        <w:t>,</w:t>
      </w:r>
      <w:r w:rsidR="008227DC">
        <w:t xml:space="preserve"> and I agree that there is generally alignment with the relief sought in the </w:t>
      </w:r>
      <w:r w:rsidR="00390CB4">
        <w:t xml:space="preserve">primary </w:t>
      </w:r>
      <w:r w:rsidR="008227DC">
        <w:t>submissions</w:t>
      </w:r>
      <w:r w:rsidR="008A4D82">
        <w:t xml:space="preserve"> (supported by Transpower’s further submission)</w:t>
      </w:r>
      <w:r w:rsidR="00390CB4">
        <w:t xml:space="preserve"> subject to two matters set out below</w:t>
      </w:r>
      <w:r w:rsidR="00B13C8C">
        <w:t xml:space="preserve"> in respect of the approach to ‘no net loss’ and the requirement for ‘offsetting’</w:t>
      </w:r>
      <w:r w:rsidR="00390CB4">
        <w:t>.</w:t>
      </w:r>
    </w:p>
    <w:p w14:paraId="78D2FF1D" w14:textId="72E0575D" w:rsidR="00390CB4" w:rsidRDefault="00B13C8C" w:rsidP="00390CB4">
      <w:pPr>
        <w:pStyle w:val="ListParagraph"/>
        <w:ind w:left="567" w:hanging="567"/>
      </w:pPr>
      <w:r>
        <w:t>Policy 3 (now numbered Policy 2) is recommended to be amended to read:</w:t>
      </w:r>
    </w:p>
    <w:p w14:paraId="0C20B0BE" w14:textId="3AB6D44B" w:rsidR="00DE0C87" w:rsidRPr="00B13C8C" w:rsidRDefault="00B13C8C" w:rsidP="00B13C8C">
      <w:pPr>
        <w:pStyle w:val="ListParagraph"/>
        <w:numPr>
          <w:ilvl w:val="0"/>
          <w:numId w:val="0"/>
        </w:numPr>
        <w:ind w:left="567"/>
        <w:rPr>
          <w:i/>
          <w:iCs/>
        </w:rPr>
      </w:pPr>
      <w:bookmarkStart w:id="8" w:name="_Hlk63946659"/>
      <w:r w:rsidRPr="00B13C8C">
        <w:rPr>
          <w:i/>
          <w:iCs/>
        </w:rPr>
        <w:t>“</w:t>
      </w:r>
      <w:r w:rsidRPr="00B13C8C">
        <w:rPr>
          <w:i/>
          <w:iCs/>
          <w:strike/>
        </w:rPr>
        <w:t xml:space="preserve">Rural </w:t>
      </w:r>
      <w:r w:rsidR="00390CB4" w:rsidRPr="00B13C8C">
        <w:rPr>
          <w:i/>
          <w:iCs/>
          <w:u w:val="single"/>
        </w:rPr>
        <w:t>Land use and</w:t>
      </w:r>
      <w:r w:rsidR="00390CB4" w:rsidRPr="00B13C8C">
        <w:rPr>
          <w:i/>
          <w:iCs/>
        </w:rPr>
        <w:t xml:space="preserve"> development, including indigenous vegetation clearance and pastoral intensification,</w:t>
      </w:r>
      <w:r w:rsidRPr="00B13C8C">
        <w:rPr>
          <w:i/>
          <w:iCs/>
        </w:rPr>
        <w:t xml:space="preserve"> </w:t>
      </w:r>
      <w:r w:rsidR="00390CB4" w:rsidRPr="00B13C8C">
        <w:rPr>
          <w:i/>
          <w:iCs/>
          <w:u w:val="single"/>
        </w:rPr>
        <w:t xml:space="preserve">only </w:t>
      </w:r>
      <w:r w:rsidR="00390CB4" w:rsidRPr="00B13C8C">
        <w:rPr>
          <w:i/>
          <w:iCs/>
        </w:rPr>
        <w:t>occurs in a way or at a rate that provides for no net loss of</w:t>
      </w:r>
      <w:r w:rsidR="00390CB4" w:rsidRPr="00B13C8C">
        <w:rPr>
          <w:i/>
          <w:iCs/>
          <w:u w:val="single"/>
        </w:rPr>
        <w:t xml:space="preserve"> significant</w:t>
      </w:r>
      <w:r w:rsidR="00390CB4" w:rsidRPr="00B13C8C">
        <w:rPr>
          <w:i/>
          <w:iCs/>
        </w:rPr>
        <w:t xml:space="preserve"> indigenous biodiversity</w:t>
      </w:r>
      <w:r w:rsidRPr="00B13C8C">
        <w:rPr>
          <w:i/>
          <w:iCs/>
        </w:rPr>
        <w:t xml:space="preserve"> </w:t>
      </w:r>
      <w:r w:rsidR="00390CB4" w:rsidRPr="00B13C8C">
        <w:rPr>
          <w:i/>
          <w:iCs/>
        </w:rPr>
        <w:t>values</w:t>
      </w:r>
      <w:r>
        <w:rPr>
          <w:i/>
          <w:iCs/>
          <w:strike/>
        </w:rPr>
        <w:t xml:space="preserve"> in areas identified as significant</w:t>
      </w:r>
      <w:r w:rsidR="00390CB4" w:rsidRPr="00B13C8C">
        <w:rPr>
          <w:i/>
          <w:iCs/>
        </w:rPr>
        <w:t>.</w:t>
      </w:r>
      <w:r w:rsidRPr="00B13C8C">
        <w:rPr>
          <w:i/>
          <w:iCs/>
        </w:rPr>
        <w:t>”</w:t>
      </w:r>
    </w:p>
    <w:bookmarkEnd w:id="8"/>
    <w:p w14:paraId="37521CF7" w14:textId="33721B23" w:rsidR="00B13C8C" w:rsidRDefault="00B13C8C" w:rsidP="008E0317">
      <w:pPr>
        <w:pStyle w:val="ListParagraph"/>
        <w:ind w:left="567" w:hanging="567"/>
      </w:pPr>
      <w:r>
        <w:t xml:space="preserve">In my opinion, the deletion of “in areas identified as significant” in Policy 2 has the effect of applying a no net loss approach </w:t>
      </w:r>
      <w:r w:rsidR="008A4D82">
        <w:t>outside of</w:t>
      </w:r>
      <w:r>
        <w:t xml:space="preserve"> areas that are identified as significant. Such an approach goes beyond what is suggested in the Section 42A Report and is not consistent with the direction given in the CRPS. That is, clause 3 of Policy 9.3.1 of the CRPS requires </w:t>
      </w:r>
      <w:r w:rsidR="008108DE">
        <w:t>“</w:t>
      </w:r>
      <w:r w:rsidR="008108DE" w:rsidRPr="008A4D82">
        <w:rPr>
          <w:i/>
          <w:iCs/>
        </w:rPr>
        <w:t>a</w:t>
      </w:r>
      <w:r w:rsidRPr="008A4D82">
        <w:rPr>
          <w:i/>
          <w:iCs/>
        </w:rPr>
        <w:t>reas identified as significant will be protected to ensure no net loss of indigenous biodiversity</w:t>
      </w:r>
      <w:r w:rsidR="008108DE" w:rsidRPr="008A4D82">
        <w:rPr>
          <w:i/>
          <w:iCs/>
        </w:rPr>
        <w:t xml:space="preserve"> </w:t>
      </w:r>
      <w:r w:rsidRPr="008A4D82">
        <w:rPr>
          <w:i/>
          <w:iCs/>
        </w:rPr>
        <w:t>or indigenous biodiversity values as a result of land use activities</w:t>
      </w:r>
      <w:r w:rsidR="008108DE">
        <w:t>” and the Section 42A Report concludes:</w:t>
      </w:r>
    </w:p>
    <w:p w14:paraId="606FDB4F" w14:textId="6133195D" w:rsidR="00B13C8C" w:rsidRPr="003D2AEC" w:rsidRDefault="008108DE" w:rsidP="008108DE">
      <w:pPr>
        <w:pStyle w:val="ListParagraph"/>
        <w:numPr>
          <w:ilvl w:val="0"/>
          <w:numId w:val="0"/>
        </w:numPr>
        <w:ind w:left="567"/>
      </w:pPr>
      <w:r w:rsidRPr="008108DE">
        <w:rPr>
          <w:i/>
          <w:iCs/>
        </w:rPr>
        <w:t>“</w:t>
      </w:r>
      <w:r w:rsidR="00B13C8C" w:rsidRPr="008108DE">
        <w:rPr>
          <w:i/>
          <w:iCs/>
        </w:rPr>
        <w:t>I note that EDS &amp; DOC seek that a no net loss approach is taken to all biodiversity. This</w:t>
      </w:r>
      <w:r w:rsidRPr="008108DE">
        <w:rPr>
          <w:i/>
          <w:iCs/>
        </w:rPr>
        <w:t xml:space="preserve"> </w:t>
      </w:r>
      <w:r w:rsidR="00B13C8C" w:rsidRPr="008108DE">
        <w:rPr>
          <w:i/>
          <w:iCs/>
        </w:rPr>
        <w:t>is not required by the CRPS, but I agree with them that this approach could still be taken,</w:t>
      </w:r>
      <w:r w:rsidRPr="008108DE">
        <w:rPr>
          <w:i/>
          <w:iCs/>
        </w:rPr>
        <w:t xml:space="preserve"> </w:t>
      </w:r>
      <w:r w:rsidR="00B13C8C" w:rsidRPr="008108DE">
        <w:rPr>
          <w:i/>
          <w:iCs/>
        </w:rPr>
        <w:t>if it is considered the most appropriate way to achieve the outcomes sought in the MDP</w:t>
      </w:r>
      <w:r w:rsidRPr="008108DE">
        <w:rPr>
          <w:i/>
          <w:iCs/>
        </w:rPr>
        <w:t xml:space="preserve"> </w:t>
      </w:r>
      <w:r w:rsidR="00B13C8C" w:rsidRPr="008108DE">
        <w:rPr>
          <w:i/>
          <w:iCs/>
        </w:rPr>
        <w:t>for indigenous biodiversity more broadly. In my view, this is not the case, because: it</w:t>
      </w:r>
      <w:r w:rsidRPr="008108DE">
        <w:rPr>
          <w:i/>
          <w:iCs/>
        </w:rPr>
        <w:t xml:space="preserve"> </w:t>
      </w:r>
      <w:r w:rsidR="00B13C8C" w:rsidRPr="008108DE">
        <w:rPr>
          <w:i/>
          <w:iCs/>
        </w:rPr>
        <w:t>does not distinguish between the approach taken to significant areas and non-significant</w:t>
      </w:r>
      <w:r w:rsidRPr="008108DE">
        <w:rPr>
          <w:i/>
          <w:iCs/>
        </w:rPr>
        <w:t xml:space="preserve"> </w:t>
      </w:r>
      <w:r w:rsidR="00B13C8C" w:rsidRPr="008108DE">
        <w:rPr>
          <w:i/>
          <w:iCs/>
        </w:rPr>
        <w:t>areas, and therefore applies a higher threshold to non-significant areas; and the MDP</w:t>
      </w:r>
      <w:r w:rsidRPr="008108DE">
        <w:rPr>
          <w:i/>
          <w:iCs/>
        </w:rPr>
        <w:t xml:space="preserve"> </w:t>
      </w:r>
      <w:r w:rsidR="00B13C8C" w:rsidRPr="008108DE">
        <w:rPr>
          <w:i/>
          <w:iCs/>
        </w:rPr>
        <w:t>proposes an integrated approach through the use of FBPs, which allows for the overall</w:t>
      </w:r>
      <w:r w:rsidRPr="008108DE">
        <w:rPr>
          <w:i/>
          <w:iCs/>
        </w:rPr>
        <w:t xml:space="preserve"> </w:t>
      </w:r>
      <w:r w:rsidR="00B13C8C" w:rsidRPr="008108DE">
        <w:rPr>
          <w:i/>
          <w:iCs/>
        </w:rPr>
        <w:t>impact on indigenous biodiversity. In my view, this is a more appropriate way to ensure</w:t>
      </w:r>
      <w:r w:rsidRPr="008108DE">
        <w:rPr>
          <w:i/>
          <w:iCs/>
        </w:rPr>
        <w:t xml:space="preserve"> </w:t>
      </w:r>
      <w:r w:rsidR="00B13C8C" w:rsidRPr="008108DE">
        <w:rPr>
          <w:i/>
          <w:iCs/>
        </w:rPr>
        <w:t>maintenance of indigenous biodiversity than a narrower focus on no net loss.</w:t>
      </w:r>
      <w:r w:rsidRPr="008108DE">
        <w:rPr>
          <w:i/>
          <w:iCs/>
        </w:rPr>
        <w:t>”</w:t>
      </w:r>
      <w:r w:rsidR="003D2AEC">
        <w:rPr>
          <w:rStyle w:val="FootnoteReference"/>
          <w:i/>
          <w:iCs/>
        </w:rPr>
        <w:footnoteReference w:id="8"/>
      </w:r>
    </w:p>
    <w:p w14:paraId="561DC3A8" w14:textId="10266975" w:rsidR="008108DE" w:rsidRDefault="008108DE" w:rsidP="00F91520">
      <w:pPr>
        <w:pStyle w:val="ListParagraph"/>
        <w:ind w:left="567" w:hanging="567"/>
      </w:pPr>
      <w:r>
        <w:t>In order to better give effect to CRPS Policy 9.3.1, and to achieve the differentiated management approaches alluded to in the Section 42A Report, I support the following further amendment to recommended Policy 2:</w:t>
      </w:r>
    </w:p>
    <w:p w14:paraId="130C0CD3" w14:textId="01FD7D6E" w:rsidR="008108DE" w:rsidRPr="00B13C8C" w:rsidRDefault="008108DE" w:rsidP="008108DE">
      <w:pPr>
        <w:pStyle w:val="ListParagraph"/>
        <w:numPr>
          <w:ilvl w:val="0"/>
          <w:numId w:val="0"/>
        </w:numPr>
        <w:ind w:left="567"/>
        <w:rPr>
          <w:i/>
          <w:iCs/>
        </w:rPr>
      </w:pPr>
      <w:r w:rsidRPr="00B13C8C">
        <w:rPr>
          <w:i/>
          <w:iCs/>
        </w:rPr>
        <w:t>“</w:t>
      </w:r>
      <w:r w:rsidRPr="00B13C8C">
        <w:rPr>
          <w:i/>
          <w:iCs/>
          <w:strike/>
        </w:rPr>
        <w:t xml:space="preserve">Rural </w:t>
      </w:r>
      <w:r w:rsidRPr="00B13C8C">
        <w:rPr>
          <w:i/>
          <w:iCs/>
          <w:u w:val="single"/>
        </w:rPr>
        <w:t>Land use and</w:t>
      </w:r>
      <w:r w:rsidRPr="00B13C8C">
        <w:rPr>
          <w:i/>
          <w:iCs/>
        </w:rPr>
        <w:t xml:space="preserve"> development, including indigenous vegetation clearance and pastoral intensification</w:t>
      </w:r>
      <w:r w:rsidR="00C44F9D">
        <w:rPr>
          <w:i/>
          <w:iCs/>
        </w:rPr>
        <w:t>,</w:t>
      </w:r>
      <w:r w:rsidRPr="00B13C8C">
        <w:rPr>
          <w:i/>
          <w:iCs/>
        </w:rPr>
        <w:t xml:space="preserve"> </w:t>
      </w:r>
      <w:r w:rsidRPr="000B2561">
        <w:rPr>
          <w:b/>
          <w:bCs/>
          <w:i/>
          <w:iCs/>
          <w:color w:val="4F81BD" w:themeColor="accent1"/>
          <w:u w:val="double"/>
        </w:rPr>
        <w:t>in areas identified as significant</w:t>
      </w:r>
      <w:r w:rsidR="00C44F9D" w:rsidRPr="00C44F9D">
        <w:rPr>
          <w:b/>
          <w:bCs/>
          <w:i/>
          <w:iCs/>
          <w:color w:val="4F81BD" w:themeColor="accent1"/>
          <w:u w:val="double"/>
        </w:rPr>
        <w:t>,</w:t>
      </w:r>
      <w:r w:rsidRPr="008108DE">
        <w:rPr>
          <w:i/>
          <w:iCs/>
          <w:color w:val="4F81BD" w:themeColor="accent1"/>
          <w:u w:val="single"/>
        </w:rPr>
        <w:t xml:space="preserve"> </w:t>
      </w:r>
      <w:r w:rsidRPr="00B13C8C">
        <w:rPr>
          <w:i/>
          <w:iCs/>
          <w:u w:val="single"/>
        </w:rPr>
        <w:t xml:space="preserve">only </w:t>
      </w:r>
      <w:r w:rsidRPr="00B13C8C">
        <w:rPr>
          <w:i/>
          <w:iCs/>
        </w:rPr>
        <w:t>occurs in a way or at a rate that provides for no net loss of</w:t>
      </w:r>
      <w:r w:rsidRPr="000B2561">
        <w:rPr>
          <w:b/>
          <w:bCs/>
          <w:i/>
          <w:iCs/>
          <w:dstrike/>
          <w:color w:val="4F81BD" w:themeColor="accent1"/>
          <w:u w:val="single"/>
        </w:rPr>
        <w:t xml:space="preserve"> significant</w:t>
      </w:r>
      <w:r w:rsidRPr="00B13C8C">
        <w:rPr>
          <w:i/>
          <w:iCs/>
        </w:rPr>
        <w:t xml:space="preserve"> indigenous biodiversity values</w:t>
      </w:r>
      <w:r>
        <w:rPr>
          <w:i/>
          <w:iCs/>
          <w:strike/>
        </w:rPr>
        <w:t xml:space="preserve"> in areas identified as significant</w:t>
      </w:r>
      <w:r w:rsidRPr="00B13C8C">
        <w:rPr>
          <w:i/>
          <w:iCs/>
        </w:rPr>
        <w:t>.”</w:t>
      </w:r>
    </w:p>
    <w:p w14:paraId="4DC90855" w14:textId="2FCDF94D" w:rsidR="00F91520" w:rsidRDefault="00B743F9" w:rsidP="00F91520">
      <w:pPr>
        <w:pStyle w:val="ListParagraph"/>
        <w:ind w:left="567" w:hanging="567"/>
      </w:pPr>
      <w:r>
        <w:t>As set out above, the</w:t>
      </w:r>
      <w:r w:rsidR="00F91520">
        <w:t xml:space="preserve"> Section 42A Report </w:t>
      </w:r>
      <w:r>
        <w:t xml:space="preserve">recommends that </w:t>
      </w:r>
      <w:r w:rsidR="00E705B2">
        <w:t xml:space="preserve">notified </w:t>
      </w:r>
      <w:r>
        <w:t>Policy 2, is deleted and replaced. In this regard, it appears that the new clause 2A sought in the submission made by Genesis (</w:t>
      </w:r>
      <w:r w:rsidR="008A4D82">
        <w:t>and</w:t>
      </w:r>
      <w:r>
        <w:t xml:space="preserve"> </w:t>
      </w:r>
      <w:r w:rsidR="008A4D82">
        <w:t xml:space="preserve">the </w:t>
      </w:r>
      <w:r>
        <w:t xml:space="preserve">subject </w:t>
      </w:r>
      <w:r w:rsidR="008A4D82">
        <w:t>of</w:t>
      </w:r>
      <w:r>
        <w:t xml:space="preserve"> Transpower’s further submission) has been addressed </w:t>
      </w:r>
      <w:r w:rsidR="00E705B2">
        <w:t>in recommended</w:t>
      </w:r>
      <w:r w:rsidR="00F91520">
        <w:t xml:space="preserve"> Policy 3</w:t>
      </w:r>
      <w:r w:rsidR="008108DE">
        <w:t>.</w:t>
      </w:r>
      <w:r w:rsidR="00E705B2">
        <w:t xml:space="preserve"> That is, Policy 3(d) requires the offsetting of significant residual adverse effects.</w:t>
      </w:r>
    </w:p>
    <w:p w14:paraId="61B4F8D8" w14:textId="60ED6D81" w:rsidR="00E705B2" w:rsidRDefault="00E705B2" w:rsidP="00F91520">
      <w:pPr>
        <w:pStyle w:val="ListParagraph"/>
        <w:ind w:left="567" w:hanging="567"/>
      </w:pPr>
      <w:r>
        <w:t xml:space="preserve">Transpower’s further submission seeks amendments to the relief sought by Genesis to clarify that the RMA includes a clear direction in sections 104(1)(ab) and 171(1B) that </w:t>
      </w:r>
      <w:proofErr w:type="gramStart"/>
      <w:r>
        <w:t>offsetting</w:t>
      </w:r>
      <w:proofErr w:type="gramEnd"/>
      <w:r>
        <w:t xml:space="preserve"> and compensation measures must be proposed or agreed by an applicant or requiring authority respectively.</w:t>
      </w:r>
      <w:r w:rsidR="003D2AEC">
        <w:t xml:space="preserve"> </w:t>
      </w:r>
    </w:p>
    <w:p w14:paraId="752843B2" w14:textId="0F5291D5" w:rsidR="003D2AEC" w:rsidRDefault="00E705B2" w:rsidP="00F91520">
      <w:pPr>
        <w:pStyle w:val="ListParagraph"/>
        <w:ind w:left="567" w:hanging="567"/>
      </w:pPr>
      <w:r>
        <w:t xml:space="preserve">In my opinion it is appropriate for recommended Policy 3 to aligned with the RMA approach to the consideration of resource consents and notices of requirement by clarifying that offsetting and compensation measures must be offered or agreed, rather than required. </w:t>
      </w:r>
      <w:r w:rsidR="003D2AEC">
        <w:t>Further, in respect of the National Grid, such an approach better gives effect to the NPSET because the NPSET does not direct or require the offsetting of residual effects of the National Grid (rather, the NPSET anticipates residual effects).</w:t>
      </w:r>
    </w:p>
    <w:p w14:paraId="080B9D78" w14:textId="49C5FA55" w:rsidR="00E705B2" w:rsidRDefault="00E705B2" w:rsidP="00F91520">
      <w:pPr>
        <w:pStyle w:val="ListParagraph"/>
        <w:ind w:left="567" w:hanging="567"/>
      </w:pPr>
      <w:r>
        <w:t>For th</w:t>
      </w:r>
      <w:r w:rsidR="003D2AEC">
        <w:t>ese</w:t>
      </w:r>
      <w:r>
        <w:t xml:space="preserve"> reason</w:t>
      </w:r>
      <w:r w:rsidR="003D2AEC">
        <w:t>s</w:t>
      </w:r>
      <w:r>
        <w:t xml:space="preserve"> I support the following amendment to Policy 3:</w:t>
      </w:r>
    </w:p>
    <w:p w14:paraId="34517B1F" w14:textId="77777777" w:rsidR="00F91520" w:rsidRPr="008108DE" w:rsidRDefault="00F91520" w:rsidP="008108DE">
      <w:pPr>
        <w:pStyle w:val="ListParagraph"/>
        <w:numPr>
          <w:ilvl w:val="0"/>
          <w:numId w:val="0"/>
        </w:numPr>
        <w:ind w:left="567"/>
        <w:rPr>
          <w:i/>
          <w:iCs/>
        </w:rPr>
      </w:pPr>
      <w:r w:rsidRPr="008108DE">
        <w:rPr>
          <w:i/>
          <w:iCs/>
        </w:rPr>
        <w:t>“To manage the adverse effects of activities on significant indigenous vegetation and significant habitats of indigenous fauna by:</w:t>
      </w:r>
    </w:p>
    <w:p w14:paraId="34ED30B9" w14:textId="77777777" w:rsidR="00F91520" w:rsidRPr="008108DE" w:rsidRDefault="00F91520" w:rsidP="008A4D82">
      <w:pPr>
        <w:pStyle w:val="ListParagraph"/>
        <w:numPr>
          <w:ilvl w:val="0"/>
          <w:numId w:val="0"/>
        </w:numPr>
        <w:ind w:left="1134" w:hanging="567"/>
        <w:rPr>
          <w:i/>
          <w:iCs/>
        </w:rPr>
      </w:pPr>
      <w:r w:rsidRPr="008108DE">
        <w:rPr>
          <w:i/>
          <w:iCs/>
        </w:rPr>
        <w:t xml:space="preserve">(a) </w:t>
      </w:r>
      <w:r w:rsidRPr="008108DE">
        <w:rPr>
          <w:i/>
          <w:iCs/>
        </w:rPr>
        <w:tab/>
        <w:t>avoiding the adverse effects of vegetation clearance and the disturbance of habitats as far as practicable; then</w:t>
      </w:r>
    </w:p>
    <w:p w14:paraId="7A1D6B75" w14:textId="4431729B" w:rsidR="00F91520" w:rsidRPr="009363C8" w:rsidRDefault="008A4D82" w:rsidP="008A4D82">
      <w:pPr>
        <w:pStyle w:val="ListParagraph"/>
        <w:numPr>
          <w:ilvl w:val="0"/>
          <w:numId w:val="0"/>
        </w:numPr>
        <w:ind w:left="1134"/>
        <w:rPr>
          <w:i/>
          <w:iCs/>
        </w:rPr>
      </w:pPr>
      <w:r w:rsidRPr="009363C8">
        <w:rPr>
          <w:i/>
          <w:iCs/>
        </w:rPr>
        <w:t xml:space="preserve">… </w:t>
      </w:r>
      <w:r w:rsidR="00F91520" w:rsidRPr="009363C8">
        <w:rPr>
          <w:i/>
          <w:iCs/>
        </w:rPr>
        <w:t xml:space="preserve"> and</w:t>
      </w:r>
    </w:p>
    <w:p w14:paraId="58056CF2" w14:textId="42D752A6" w:rsidR="00DD4108" w:rsidRPr="009363C8" w:rsidRDefault="00F91520" w:rsidP="008A4D82">
      <w:pPr>
        <w:pStyle w:val="ListParagraph"/>
        <w:numPr>
          <w:ilvl w:val="0"/>
          <w:numId w:val="0"/>
        </w:numPr>
        <w:ind w:left="1134" w:hanging="567"/>
        <w:rPr>
          <w:i/>
          <w:iCs/>
        </w:rPr>
      </w:pPr>
      <w:r w:rsidRPr="009363C8">
        <w:rPr>
          <w:i/>
          <w:iCs/>
        </w:rPr>
        <w:t xml:space="preserve">(d) </w:t>
      </w:r>
      <w:r w:rsidRPr="009363C8">
        <w:rPr>
          <w:i/>
          <w:iCs/>
        </w:rPr>
        <w:tab/>
        <w:t>where there are any significant residual adverse effects, offsetting them in accordance with Policy 6</w:t>
      </w:r>
      <w:r w:rsidR="008A4D82" w:rsidRPr="00E322CF">
        <w:rPr>
          <w:b/>
          <w:bCs/>
          <w:i/>
          <w:iCs/>
          <w:color w:val="4F81BD" w:themeColor="accent1"/>
          <w:u w:val="double"/>
        </w:rPr>
        <w:t>, where such measures are offered or agreed by an applicant or requiring authority</w:t>
      </w:r>
      <w:r w:rsidRPr="009363C8">
        <w:rPr>
          <w:i/>
          <w:iCs/>
        </w:rPr>
        <w:t>.”</w:t>
      </w:r>
    </w:p>
    <w:p w14:paraId="1139AF80" w14:textId="7EFE22F6" w:rsidR="00DD4108" w:rsidRPr="009363C8" w:rsidRDefault="00DD4108" w:rsidP="008613B9">
      <w:pPr>
        <w:spacing w:before="120" w:line="260" w:lineRule="atLeast"/>
        <w:rPr>
          <w:b/>
          <w:bCs/>
        </w:rPr>
      </w:pPr>
      <w:bookmarkStart w:id="9" w:name="_Hlk63958839"/>
      <w:r w:rsidRPr="009363C8">
        <w:rPr>
          <w:b/>
          <w:bCs/>
        </w:rPr>
        <w:t>Biodiversity Policy 7</w:t>
      </w:r>
    </w:p>
    <w:p w14:paraId="089E244F" w14:textId="1EE0C0A0" w:rsidR="00DD4108" w:rsidRDefault="009363C8" w:rsidP="00DD4108">
      <w:pPr>
        <w:pStyle w:val="ListParagraph"/>
        <w:ind w:left="567" w:hanging="567"/>
      </w:pPr>
      <w:r>
        <w:t>Transpower’s further submission</w:t>
      </w:r>
      <w:r w:rsidR="00AF2700">
        <w:t xml:space="preserve"> supports in part the primary submissions made by Genesis and Meridian that seek a range of amendments to Policy 7. Policy 7, as notified, recognises the importance of renewable energy general and transmission. The primary submissions </w:t>
      </w:r>
      <w:r w:rsidR="00E64E02">
        <w:t xml:space="preserve">generally </w:t>
      </w:r>
      <w:r w:rsidR="00AF2700">
        <w:t xml:space="preserve">seek </w:t>
      </w:r>
      <w:r w:rsidR="00547916">
        <w:t xml:space="preserve">the inclusion of </w:t>
      </w:r>
      <w:proofErr w:type="gramStart"/>
      <w:r w:rsidR="00547916">
        <w:t>a number of</w:t>
      </w:r>
      <w:proofErr w:type="gramEnd"/>
      <w:r w:rsidR="00547916">
        <w:t xml:space="preserve"> additional clauses that sets out a more detailed approach to the management </w:t>
      </w:r>
      <w:bookmarkEnd w:id="9"/>
      <w:r w:rsidR="00547916">
        <w:t>of indigenous vegetation clearance as part of Waitaki Power Scheme.</w:t>
      </w:r>
      <w:r w:rsidR="00E64E02">
        <w:t xml:space="preserve"> </w:t>
      </w:r>
    </w:p>
    <w:p w14:paraId="28192A9A" w14:textId="5734035B" w:rsidR="00DD4108" w:rsidRDefault="00547916" w:rsidP="00DD4108">
      <w:pPr>
        <w:pStyle w:val="ListParagraph"/>
        <w:ind w:left="567" w:hanging="567"/>
      </w:pPr>
      <w:r>
        <w:t xml:space="preserve">Transpower’s further submission </w:t>
      </w:r>
      <w:r w:rsidR="00866957">
        <w:t xml:space="preserve">supports the relief sought </w:t>
      </w:r>
      <w:r w:rsidR="009458FF">
        <w:t xml:space="preserve">by Genesis and Meridian </w:t>
      </w:r>
      <w:r w:rsidR="00866957">
        <w:t xml:space="preserve">to the extent that the amendments provide greater detail in respect of how the recognition of the importance of energy generation and transmission is achieved. Transpower’s further submission seeks that </w:t>
      </w:r>
      <w:r w:rsidR="00137912">
        <w:t xml:space="preserve">the amendments to Policy 7 sought by the submitters are further amended to </w:t>
      </w:r>
      <w:r w:rsidR="00866957">
        <w:t>include explicit reference to the National Grid.</w:t>
      </w:r>
    </w:p>
    <w:p w14:paraId="0171AAD4" w14:textId="4C105022" w:rsidR="009458FF" w:rsidRPr="009458FF" w:rsidRDefault="009458FF" w:rsidP="00DD4108">
      <w:pPr>
        <w:pStyle w:val="ListParagraph"/>
        <w:ind w:left="567" w:hanging="567"/>
      </w:pPr>
      <w:r>
        <w:t xml:space="preserve">Transpower’s further submission also opposes the primary submission made by </w:t>
      </w:r>
      <w:r w:rsidRPr="009458FF">
        <w:t>Environmental Defence Society Inc. (“EDS”) seeking the replacement of Policy 7 in its entirety. Transpower seeks that this submission is disallowed.</w:t>
      </w:r>
    </w:p>
    <w:p w14:paraId="2EE06FE5" w14:textId="77777777" w:rsidR="009458FF" w:rsidRPr="009458FF" w:rsidRDefault="009458FF" w:rsidP="009458FF">
      <w:pPr>
        <w:pStyle w:val="ListParagraph"/>
        <w:ind w:left="567" w:hanging="567"/>
      </w:pPr>
      <w:r w:rsidRPr="009458FF">
        <w:t xml:space="preserve">The Section 42A Report recommends </w:t>
      </w:r>
      <w:proofErr w:type="gramStart"/>
      <w:r w:rsidRPr="009458FF">
        <w:t>a number of</w:t>
      </w:r>
      <w:proofErr w:type="gramEnd"/>
      <w:r w:rsidRPr="009458FF">
        <w:t xml:space="preserve"> amendments to Policy 7 in response to submissions as follows:</w:t>
      </w:r>
    </w:p>
    <w:p w14:paraId="0597D6F7" w14:textId="31CECC02" w:rsidR="00137912" w:rsidRPr="00137912" w:rsidRDefault="00137912" w:rsidP="008157FA">
      <w:pPr>
        <w:pStyle w:val="ListParagraph"/>
        <w:numPr>
          <w:ilvl w:val="0"/>
          <w:numId w:val="0"/>
        </w:numPr>
        <w:ind w:left="567"/>
        <w:rPr>
          <w:i/>
          <w:iCs/>
          <w:lang w:val="en-NZ"/>
        </w:rPr>
      </w:pPr>
      <w:bookmarkStart w:id="10" w:name="_Hlk63952237"/>
      <w:r>
        <w:rPr>
          <w:i/>
          <w:iCs/>
          <w:lang w:val="en-NZ"/>
        </w:rPr>
        <w:t>“</w:t>
      </w:r>
      <w:r w:rsidRPr="00137912">
        <w:rPr>
          <w:i/>
          <w:iCs/>
          <w:lang w:val="en-NZ"/>
        </w:rPr>
        <w:t xml:space="preserve">To </w:t>
      </w:r>
      <w:r w:rsidRPr="00137912">
        <w:rPr>
          <w:i/>
          <w:iCs/>
          <w:u w:val="single"/>
          <w:lang w:val="en-NZ"/>
        </w:rPr>
        <w:t>manage effects on indigenous biodiversity in a way that</w:t>
      </w:r>
      <w:r w:rsidRPr="00137912">
        <w:rPr>
          <w:i/>
          <w:iCs/>
          <w:lang w:val="en-NZ"/>
        </w:rPr>
        <w:t xml:space="preserve"> recognises the economic and socia</w:t>
      </w:r>
      <w:r w:rsidR="008157FA">
        <w:rPr>
          <w:i/>
          <w:iCs/>
          <w:lang w:val="en-NZ"/>
        </w:rPr>
        <w:t xml:space="preserve">l </w:t>
      </w:r>
      <w:r w:rsidRPr="00137912">
        <w:rPr>
          <w:i/>
          <w:iCs/>
          <w:lang w:val="en-NZ"/>
        </w:rPr>
        <w:t xml:space="preserve">importance of renewable energy generation and transmission </w:t>
      </w:r>
      <w:r w:rsidRPr="00137912">
        <w:rPr>
          <w:i/>
          <w:iCs/>
          <w:strike/>
          <w:lang w:val="en-NZ"/>
        </w:rPr>
        <w:t>consistent with objectives and</w:t>
      </w:r>
      <w:r w:rsidR="008157FA">
        <w:rPr>
          <w:i/>
          <w:iCs/>
          <w:strike/>
          <w:lang w:val="en-NZ"/>
        </w:rPr>
        <w:t xml:space="preserve"> </w:t>
      </w:r>
      <w:r w:rsidRPr="00137912">
        <w:rPr>
          <w:i/>
          <w:iCs/>
          <w:strike/>
          <w:lang w:val="en-NZ"/>
        </w:rPr>
        <w:t>policies of this Plan, to</w:t>
      </w:r>
      <w:r w:rsidRPr="00137912">
        <w:rPr>
          <w:i/>
          <w:iCs/>
          <w:u w:val="single"/>
          <w:lang w:val="en-NZ"/>
        </w:rPr>
        <w:t xml:space="preserve"> and </w:t>
      </w:r>
      <w:r w:rsidRPr="00137912">
        <w:rPr>
          <w:i/>
          <w:iCs/>
          <w:lang w:val="en-NZ"/>
        </w:rPr>
        <w:t>provide</w:t>
      </w:r>
      <w:r w:rsidRPr="00137912">
        <w:rPr>
          <w:i/>
          <w:iCs/>
          <w:u w:val="single"/>
          <w:lang w:val="en-NZ"/>
        </w:rPr>
        <w:t>s</w:t>
      </w:r>
      <w:r w:rsidRPr="00137912">
        <w:rPr>
          <w:i/>
          <w:iCs/>
          <w:lang w:val="en-NZ"/>
        </w:rPr>
        <w:t xml:space="preserve"> for its </w:t>
      </w:r>
      <w:r w:rsidRPr="00137912">
        <w:rPr>
          <w:i/>
          <w:iCs/>
          <w:u w:val="single"/>
          <w:lang w:val="en-NZ"/>
        </w:rPr>
        <w:t>development, operation,</w:t>
      </w:r>
      <w:r w:rsidRPr="00137912">
        <w:rPr>
          <w:i/>
          <w:iCs/>
          <w:lang w:val="en-NZ"/>
        </w:rPr>
        <w:t xml:space="preserve"> upgrading</w:t>
      </w:r>
      <w:r w:rsidRPr="00137912">
        <w:rPr>
          <w:i/>
          <w:iCs/>
          <w:strike/>
          <w:lang w:val="en-NZ"/>
        </w:rPr>
        <w:t>,</w:t>
      </w:r>
      <w:r w:rsidRPr="00137912">
        <w:rPr>
          <w:i/>
          <w:iCs/>
          <w:lang w:val="en-NZ"/>
        </w:rPr>
        <w:t xml:space="preserve"> </w:t>
      </w:r>
      <w:r w:rsidRPr="00137912">
        <w:rPr>
          <w:i/>
          <w:iCs/>
          <w:u w:val="single"/>
          <w:lang w:val="en-NZ"/>
        </w:rPr>
        <w:t xml:space="preserve">and </w:t>
      </w:r>
      <w:r w:rsidRPr="00137912">
        <w:rPr>
          <w:i/>
          <w:iCs/>
          <w:lang w:val="en-NZ"/>
        </w:rPr>
        <w:t>maintenance</w:t>
      </w:r>
      <w:r w:rsidR="008157FA">
        <w:rPr>
          <w:i/>
          <w:iCs/>
          <w:lang w:val="en-NZ"/>
        </w:rPr>
        <w:t xml:space="preserve"> </w:t>
      </w:r>
      <w:proofErr w:type="gramStart"/>
      <w:r w:rsidRPr="00137912">
        <w:rPr>
          <w:i/>
          <w:iCs/>
          <w:u w:val="single"/>
          <w:lang w:val="en-NZ"/>
        </w:rPr>
        <w:t>by:</w:t>
      </w:r>
      <w:proofErr w:type="gramEnd"/>
      <w:r w:rsidRPr="00137912">
        <w:rPr>
          <w:i/>
          <w:iCs/>
          <w:lang w:val="en-NZ"/>
        </w:rPr>
        <w:t xml:space="preserve"> </w:t>
      </w:r>
      <w:r w:rsidRPr="00137912">
        <w:rPr>
          <w:i/>
          <w:iCs/>
          <w:strike/>
          <w:lang w:val="en-NZ"/>
        </w:rPr>
        <w:t>and enhancement.</w:t>
      </w:r>
    </w:p>
    <w:p w14:paraId="06A84B3A" w14:textId="63E3172C" w:rsidR="00137912" w:rsidRPr="00137912" w:rsidRDefault="00137912" w:rsidP="008157FA">
      <w:pPr>
        <w:pStyle w:val="ListParagraph"/>
        <w:numPr>
          <w:ilvl w:val="0"/>
          <w:numId w:val="0"/>
        </w:numPr>
        <w:ind w:left="1134" w:hanging="567"/>
        <w:rPr>
          <w:i/>
          <w:iCs/>
          <w:u w:val="single"/>
          <w:lang w:val="en-NZ"/>
        </w:rPr>
      </w:pPr>
      <w:r w:rsidRPr="00137912">
        <w:rPr>
          <w:i/>
          <w:iCs/>
          <w:u w:val="single"/>
          <w:lang w:val="en-NZ"/>
        </w:rPr>
        <w:t xml:space="preserve">1. </w:t>
      </w:r>
      <w:r w:rsidR="008157FA" w:rsidRPr="009F2E46">
        <w:rPr>
          <w:i/>
          <w:iCs/>
          <w:u w:val="single"/>
          <w:lang w:val="en-NZ"/>
        </w:rPr>
        <w:tab/>
      </w:r>
      <w:r w:rsidRPr="00137912">
        <w:rPr>
          <w:i/>
          <w:iCs/>
          <w:u w:val="single"/>
          <w:lang w:val="en-NZ"/>
        </w:rPr>
        <w:t>Enabling indigenous vegetation clearance that is essential for the operation and</w:t>
      </w:r>
      <w:r w:rsidR="008157FA" w:rsidRPr="009F2E46">
        <w:rPr>
          <w:i/>
          <w:iCs/>
          <w:u w:val="single"/>
          <w:lang w:val="en-NZ"/>
        </w:rPr>
        <w:t xml:space="preserve"> </w:t>
      </w:r>
      <w:r w:rsidRPr="00137912">
        <w:rPr>
          <w:i/>
          <w:iCs/>
          <w:u w:val="single"/>
          <w:lang w:val="en-NZ"/>
        </w:rPr>
        <w:t>maintenance of the Waitaki Power Scheme; and</w:t>
      </w:r>
    </w:p>
    <w:p w14:paraId="0FF5C45E" w14:textId="09BEFA83" w:rsidR="00137912" w:rsidRPr="00137912" w:rsidRDefault="00137912" w:rsidP="008157FA">
      <w:pPr>
        <w:pStyle w:val="ListParagraph"/>
        <w:numPr>
          <w:ilvl w:val="0"/>
          <w:numId w:val="0"/>
        </w:numPr>
        <w:ind w:left="1134" w:hanging="567"/>
        <w:rPr>
          <w:i/>
          <w:iCs/>
          <w:u w:val="single"/>
          <w:lang w:val="en-NZ"/>
        </w:rPr>
      </w:pPr>
      <w:r w:rsidRPr="00137912">
        <w:rPr>
          <w:i/>
          <w:iCs/>
          <w:u w:val="single"/>
          <w:lang w:val="en-NZ"/>
        </w:rPr>
        <w:t xml:space="preserve">2. </w:t>
      </w:r>
      <w:r w:rsidR="008157FA" w:rsidRPr="009F2E46">
        <w:rPr>
          <w:i/>
          <w:iCs/>
          <w:u w:val="single"/>
          <w:lang w:val="en-NZ"/>
        </w:rPr>
        <w:tab/>
      </w:r>
      <w:r w:rsidRPr="00137912">
        <w:rPr>
          <w:i/>
          <w:iCs/>
          <w:u w:val="single"/>
          <w:lang w:val="en-NZ"/>
        </w:rPr>
        <w:t>Providing for the upgrading and development of renewable energy generation, while</w:t>
      </w:r>
      <w:r w:rsidR="008157FA" w:rsidRPr="009F2E46">
        <w:rPr>
          <w:i/>
          <w:iCs/>
          <w:u w:val="single"/>
          <w:lang w:val="en-NZ"/>
        </w:rPr>
        <w:t xml:space="preserve"> </w:t>
      </w:r>
      <w:r w:rsidRPr="00137912">
        <w:rPr>
          <w:i/>
          <w:iCs/>
          <w:u w:val="single"/>
          <w:lang w:val="en-NZ"/>
        </w:rPr>
        <w:t xml:space="preserve">managing the effects of development on indigenous biodiversity, </w:t>
      </w:r>
      <w:proofErr w:type="gramStart"/>
      <w:r w:rsidRPr="00137912">
        <w:rPr>
          <w:i/>
          <w:iCs/>
          <w:u w:val="single"/>
          <w:lang w:val="en-NZ"/>
        </w:rPr>
        <w:t>taking into account</w:t>
      </w:r>
      <w:proofErr w:type="gramEnd"/>
      <w:r w:rsidRPr="00137912">
        <w:rPr>
          <w:i/>
          <w:iCs/>
          <w:u w:val="single"/>
          <w:lang w:val="en-NZ"/>
        </w:rPr>
        <w:t>:</w:t>
      </w:r>
    </w:p>
    <w:p w14:paraId="23F359B4" w14:textId="0FC070F4" w:rsidR="00137912" w:rsidRPr="00137912" w:rsidRDefault="00137912" w:rsidP="008157FA">
      <w:pPr>
        <w:pStyle w:val="ListParagraph"/>
        <w:numPr>
          <w:ilvl w:val="0"/>
          <w:numId w:val="0"/>
        </w:numPr>
        <w:ind w:left="1701" w:hanging="567"/>
        <w:rPr>
          <w:i/>
          <w:iCs/>
          <w:u w:val="single"/>
          <w:lang w:val="en-NZ"/>
        </w:rPr>
      </w:pPr>
      <w:r w:rsidRPr="00137912">
        <w:rPr>
          <w:i/>
          <w:iCs/>
          <w:u w:val="single"/>
          <w:lang w:val="en-NZ"/>
        </w:rPr>
        <w:t xml:space="preserve">a. </w:t>
      </w:r>
      <w:r w:rsidR="008157FA" w:rsidRPr="009F2E46">
        <w:rPr>
          <w:i/>
          <w:iCs/>
          <w:u w:val="single"/>
          <w:lang w:val="en-NZ"/>
        </w:rPr>
        <w:tab/>
      </w:r>
      <w:r w:rsidRPr="00137912">
        <w:rPr>
          <w:i/>
          <w:iCs/>
          <w:u w:val="single"/>
          <w:lang w:val="en-NZ"/>
        </w:rPr>
        <w:t>The location of existing structures and infrastructure and the need to locate the</w:t>
      </w:r>
      <w:r w:rsidR="008157FA" w:rsidRPr="009F2E46">
        <w:rPr>
          <w:i/>
          <w:iCs/>
          <w:u w:val="single"/>
          <w:lang w:val="en-NZ"/>
        </w:rPr>
        <w:t xml:space="preserve"> </w:t>
      </w:r>
      <w:r w:rsidRPr="00137912">
        <w:rPr>
          <w:i/>
          <w:iCs/>
          <w:u w:val="single"/>
          <w:lang w:val="en-NZ"/>
        </w:rPr>
        <w:t>activity where the renewable energy resource is available; and</w:t>
      </w:r>
    </w:p>
    <w:p w14:paraId="2B071838" w14:textId="5BB7C851" w:rsidR="00137912" w:rsidRPr="00137912" w:rsidRDefault="00137912" w:rsidP="008157FA">
      <w:pPr>
        <w:pStyle w:val="ListParagraph"/>
        <w:numPr>
          <w:ilvl w:val="0"/>
          <w:numId w:val="0"/>
        </w:numPr>
        <w:ind w:left="1701" w:hanging="567"/>
        <w:rPr>
          <w:i/>
          <w:iCs/>
          <w:u w:val="single"/>
          <w:lang w:val="en-NZ"/>
        </w:rPr>
      </w:pPr>
      <w:r w:rsidRPr="00137912">
        <w:rPr>
          <w:i/>
          <w:iCs/>
          <w:u w:val="single"/>
          <w:lang w:val="en-NZ"/>
        </w:rPr>
        <w:t xml:space="preserve">b. </w:t>
      </w:r>
      <w:r w:rsidR="008157FA" w:rsidRPr="009F2E46">
        <w:rPr>
          <w:i/>
          <w:iCs/>
          <w:u w:val="single"/>
          <w:lang w:val="en-NZ"/>
        </w:rPr>
        <w:tab/>
      </w:r>
      <w:r w:rsidRPr="00137912">
        <w:rPr>
          <w:i/>
          <w:iCs/>
          <w:u w:val="single"/>
          <w:lang w:val="en-NZ"/>
        </w:rPr>
        <w:t>the wide extent and high value of significant indigenous vegetation and habitat</w:t>
      </w:r>
      <w:r w:rsidR="008157FA" w:rsidRPr="009F2E46">
        <w:rPr>
          <w:i/>
          <w:iCs/>
          <w:u w:val="single"/>
          <w:lang w:val="en-NZ"/>
        </w:rPr>
        <w:t xml:space="preserve"> </w:t>
      </w:r>
      <w:r w:rsidRPr="00137912">
        <w:rPr>
          <w:i/>
          <w:iCs/>
          <w:u w:val="single"/>
          <w:lang w:val="en-NZ"/>
        </w:rPr>
        <w:t xml:space="preserve">within and associated with the Tekapo, </w:t>
      </w:r>
      <w:proofErr w:type="spellStart"/>
      <w:r w:rsidRPr="00137912">
        <w:rPr>
          <w:i/>
          <w:iCs/>
          <w:u w:val="single"/>
          <w:lang w:val="en-NZ"/>
        </w:rPr>
        <w:t>Pūkaki</w:t>
      </w:r>
      <w:proofErr w:type="spellEnd"/>
      <w:r w:rsidRPr="00137912">
        <w:rPr>
          <w:i/>
          <w:iCs/>
          <w:u w:val="single"/>
          <w:lang w:val="en-NZ"/>
        </w:rPr>
        <w:t xml:space="preserve"> and </w:t>
      </w:r>
      <w:proofErr w:type="spellStart"/>
      <w:r w:rsidRPr="00137912">
        <w:rPr>
          <w:i/>
          <w:iCs/>
          <w:u w:val="single"/>
          <w:lang w:val="en-NZ"/>
        </w:rPr>
        <w:t>Ohāu</w:t>
      </w:r>
      <w:proofErr w:type="spellEnd"/>
      <w:r w:rsidRPr="00137912">
        <w:rPr>
          <w:i/>
          <w:iCs/>
          <w:u w:val="single"/>
          <w:lang w:val="en-NZ"/>
        </w:rPr>
        <w:t xml:space="preserve"> river systems; and</w:t>
      </w:r>
    </w:p>
    <w:p w14:paraId="4A38F236" w14:textId="348CC064" w:rsidR="00137912" w:rsidRPr="00137912" w:rsidRDefault="00137912" w:rsidP="008157FA">
      <w:pPr>
        <w:pStyle w:val="ListParagraph"/>
        <w:numPr>
          <w:ilvl w:val="0"/>
          <w:numId w:val="0"/>
        </w:numPr>
        <w:ind w:left="1701" w:hanging="567"/>
        <w:rPr>
          <w:i/>
          <w:iCs/>
          <w:u w:val="single"/>
          <w:lang w:val="en-NZ"/>
        </w:rPr>
      </w:pPr>
      <w:r w:rsidRPr="00137912">
        <w:rPr>
          <w:i/>
          <w:iCs/>
          <w:u w:val="single"/>
          <w:lang w:val="en-NZ"/>
        </w:rPr>
        <w:t xml:space="preserve">c. </w:t>
      </w:r>
      <w:r w:rsidR="008157FA" w:rsidRPr="009F2E46">
        <w:rPr>
          <w:i/>
          <w:iCs/>
          <w:u w:val="single"/>
          <w:lang w:val="en-NZ"/>
        </w:rPr>
        <w:tab/>
      </w:r>
      <w:r w:rsidRPr="00137912">
        <w:rPr>
          <w:i/>
          <w:iCs/>
          <w:u w:val="single"/>
          <w:lang w:val="en-NZ"/>
        </w:rPr>
        <w:t>logistical or technical practicalities associated with the activity; and</w:t>
      </w:r>
    </w:p>
    <w:p w14:paraId="6DCB9E92" w14:textId="4EFEFF54" w:rsidR="00137912" w:rsidRPr="00137912" w:rsidRDefault="00137912" w:rsidP="008157FA">
      <w:pPr>
        <w:pStyle w:val="ListParagraph"/>
        <w:numPr>
          <w:ilvl w:val="0"/>
          <w:numId w:val="0"/>
        </w:numPr>
        <w:ind w:left="1701" w:hanging="567"/>
        <w:rPr>
          <w:i/>
          <w:iCs/>
          <w:u w:val="single"/>
          <w:lang w:val="en-NZ"/>
        </w:rPr>
      </w:pPr>
      <w:r w:rsidRPr="00137912">
        <w:rPr>
          <w:i/>
          <w:iCs/>
          <w:u w:val="single"/>
          <w:lang w:val="en-NZ"/>
        </w:rPr>
        <w:t xml:space="preserve">d. </w:t>
      </w:r>
      <w:r w:rsidR="008157FA" w:rsidRPr="009F2E46">
        <w:rPr>
          <w:i/>
          <w:iCs/>
          <w:u w:val="single"/>
          <w:lang w:val="en-NZ"/>
        </w:rPr>
        <w:tab/>
      </w:r>
      <w:r w:rsidRPr="00137912">
        <w:rPr>
          <w:i/>
          <w:iCs/>
          <w:u w:val="single"/>
          <w:lang w:val="en-NZ"/>
        </w:rPr>
        <w:t>the importance of maintaining the output from existing renewable electricity</w:t>
      </w:r>
      <w:r w:rsidR="008157FA" w:rsidRPr="009F2E46">
        <w:rPr>
          <w:i/>
          <w:iCs/>
          <w:u w:val="single"/>
          <w:lang w:val="en-NZ"/>
        </w:rPr>
        <w:t xml:space="preserve"> </w:t>
      </w:r>
      <w:r w:rsidRPr="00137912">
        <w:rPr>
          <w:i/>
          <w:iCs/>
          <w:u w:val="single"/>
          <w:lang w:val="en-NZ"/>
        </w:rPr>
        <w:t>generation activities; and</w:t>
      </w:r>
    </w:p>
    <w:p w14:paraId="4543B28F" w14:textId="0C57FC43" w:rsidR="00866957" w:rsidRPr="00064D2A" w:rsidRDefault="00137912" w:rsidP="008157FA">
      <w:pPr>
        <w:pStyle w:val="ListParagraph"/>
        <w:numPr>
          <w:ilvl w:val="0"/>
          <w:numId w:val="0"/>
        </w:numPr>
        <w:ind w:left="1701" w:hanging="567"/>
        <w:rPr>
          <w:u w:val="single"/>
        </w:rPr>
      </w:pPr>
      <w:r w:rsidRPr="00137912">
        <w:rPr>
          <w:i/>
          <w:iCs/>
          <w:u w:val="single"/>
          <w:lang w:val="en-NZ"/>
        </w:rPr>
        <w:t xml:space="preserve">e. </w:t>
      </w:r>
      <w:r w:rsidR="008157FA" w:rsidRPr="009F2E46">
        <w:rPr>
          <w:i/>
          <w:iCs/>
          <w:u w:val="single"/>
          <w:lang w:val="en-NZ"/>
        </w:rPr>
        <w:tab/>
      </w:r>
      <w:r w:rsidRPr="00137912">
        <w:rPr>
          <w:i/>
          <w:iCs/>
          <w:u w:val="single"/>
          <w:lang w:val="en-NZ"/>
        </w:rPr>
        <w:t>In respect of Policy 6, environmental compensation which benefits the local</w:t>
      </w:r>
      <w:r w:rsidR="008157FA" w:rsidRPr="009F2E46">
        <w:rPr>
          <w:i/>
          <w:iCs/>
          <w:u w:val="single"/>
          <w:lang w:val="en-NZ"/>
        </w:rPr>
        <w:t xml:space="preserve"> </w:t>
      </w:r>
      <w:r w:rsidRPr="00137912">
        <w:rPr>
          <w:i/>
          <w:iCs/>
          <w:u w:val="single"/>
          <w:lang w:val="en-NZ"/>
        </w:rPr>
        <w:t>environment affected, as an alternate, or in addition to offsetting, to address</w:t>
      </w:r>
      <w:r w:rsidR="008157FA" w:rsidRPr="00064D2A">
        <w:rPr>
          <w:i/>
          <w:iCs/>
          <w:u w:val="single"/>
          <w:lang w:val="en-NZ"/>
        </w:rPr>
        <w:t xml:space="preserve"> </w:t>
      </w:r>
      <w:r w:rsidRPr="00064D2A">
        <w:rPr>
          <w:i/>
          <w:iCs/>
          <w:u w:val="single"/>
          <w:lang w:val="en-NZ"/>
        </w:rPr>
        <w:t>any residual environmental effects.</w:t>
      </w:r>
    </w:p>
    <w:bookmarkEnd w:id="10"/>
    <w:p w14:paraId="6133D71C" w14:textId="5047F878" w:rsidR="00064D2A" w:rsidRPr="00E35AAA" w:rsidRDefault="009458FF" w:rsidP="0024322D">
      <w:pPr>
        <w:pStyle w:val="ListParagraph"/>
        <w:ind w:left="567" w:hanging="567"/>
      </w:pPr>
      <w:r w:rsidRPr="00064D2A">
        <w:t xml:space="preserve">Setting aside Transpower’s pursuit of the inclusion of explicit reference to the National Grid </w:t>
      </w:r>
      <w:r w:rsidR="00064D2A" w:rsidRPr="00E35AAA">
        <w:t>and subject to my comments in respect of offsetting in relation to Policy 3, I have reviewed the proposed amendments to Policy 7 and consider that these amendments are generally consistent with the intent of the primary submissions made by Genesis and Meridian and, insofar as the Policy is relevant to the National Grid, give effect to the direction given in respect of the management of adverse effects of the National Grid</w:t>
      </w:r>
      <w:r w:rsidR="003D2AEC" w:rsidRPr="00E35AAA">
        <w:t xml:space="preserve"> in the NPSET and CRPS</w:t>
      </w:r>
      <w:r w:rsidR="00064D2A" w:rsidRPr="00E35AAA">
        <w:t>.</w:t>
      </w:r>
    </w:p>
    <w:p w14:paraId="17D747F5" w14:textId="4D1DE463" w:rsidR="0024322D" w:rsidRPr="00E35AAA" w:rsidRDefault="00064D2A" w:rsidP="0024322D">
      <w:pPr>
        <w:pStyle w:val="ListParagraph"/>
        <w:ind w:left="567" w:hanging="567"/>
      </w:pPr>
      <w:r w:rsidRPr="00E35AAA">
        <w:t>In terms of the explicit inclusion of</w:t>
      </w:r>
      <w:r w:rsidR="003D2AEC" w:rsidRPr="00E35AAA">
        <w:t xml:space="preserve"> references to the National Grid</w:t>
      </w:r>
      <w:r w:rsidR="0024322D" w:rsidRPr="00E35AAA">
        <w:t xml:space="preserve"> and the extent to which Policy 7 applies to the National Grid, it is my opinion that Policy 7 (as notified) generally applies to the National Grid because the National Grid can be considered as a standalone activity through the reference to “and transmission” in the opening clause. </w:t>
      </w:r>
      <w:r w:rsidR="00E35AAA" w:rsidRPr="00E35AAA">
        <w:t>I understand that this is the same view conclusion reached in the Section 42A Report.</w:t>
      </w:r>
      <w:r w:rsidR="00E35AAA" w:rsidRPr="00E35AAA">
        <w:rPr>
          <w:rStyle w:val="FootnoteReference"/>
        </w:rPr>
        <w:footnoteReference w:id="9"/>
      </w:r>
      <w:r w:rsidR="0024322D" w:rsidRPr="00E35AAA">
        <w:t xml:space="preserve"> </w:t>
      </w:r>
    </w:p>
    <w:p w14:paraId="38F0369B" w14:textId="7F60F81F" w:rsidR="0024322D" w:rsidRDefault="00E35AAA" w:rsidP="0024322D">
      <w:pPr>
        <w:pStyle w:val="ListParagraph"/>
        <w:ind w:left="567" w:hanging="567"/>
      </w:pPr>
      <w:r>
        <w:t xml:space="preserve">I therefore support the retention of reference to “and transmission” in the opening clause of Policy 7 but suggest that the term could be further clarified (and aligned to the NPSET) by and referring to “electricity transmission” as </w:t>
      </w:r>
      <w:r w:rsidR="00516FB8">
        <w:t>set out below.</w:t>
      </w:r>
    </w:p>
    <w:p w14:paraId="60F1D163" w14:textId="498D9386" w:rsidR="00E64E02" w:rsidRPr="00516FB8" w:rsidRDefault="00CF05DD" w:rsidP="00DD4108">
      <w:pPr>
        <w:pStyle w:val="ListParagraph"/>
        <w:ind w:left="567" w:hanging="567"/>
      </w:pPr>
      <w:r w:rsidRPr="00516FB8">
        <w:t xml:space="preserve">The subsequent clauses (1) and (2) of Policy 7 set out the ways in which, in managing the effects on indigenous biodiversity, the importance of renewable energy generation and electricity transmission is recognised and its development, operation, upgrading and maintenance provided for. </w:t>
      </w:r>
      <w:r w:rsidR="00516FB8" w:rsidRPr="00516FB8">
        <w:t xml:space="preserve">These clauses refer to the Waitaki Power Scheme and renewable energy generation respectively and do not include any further direction in respect of electricity transmission generally. For this reason, </w:t>
      </w:r>
      <w:r w:rsidR="00516FB8">
        <w:t xml:space="preserve">and to </w:t>
      </w:r>
      <w:r w:rsidR="00443DA5">
        <w:t xml:space="preserve">better </w:t>
      </w:r>
      <w:r w:rsidR="00516FB8">
        <w:t xml:space="preserve">give effect to the NPSET, </w:t>
      </w:r>
      <w:r w:rsidR="00516FB8" w:rsidRPr="00516FB8">
        <w:t xml:space="preserve">I suggest that “including” be inserted in the Policy to indicate that there are other means to achieve the outcomes sought in by Policy 7 as follows: </w:t>
      </w:r>
    </w:p>
    <w:p w14:paraId="58BF2987" w14:textId="6A223C93" w:rsidR="00516FB8" w:rsidRPr="00443DA5" w:rsidRDefault="00516FB8" w:rsidP="00516FB8">
      <w:pPr>
        <w:pStyle w:val="ListParagraph"/>
        <w:numPr>
          <w:ilvl w:val="0"/>
          <w:numId w:val="0"/>
        </w:numPr>
        <w:ind w:left="567"/>
        <w:rPr>
          <w:i/>
          <w:iCs/>
          <w:lang w:val="en-NZ"/>
        </w:rPr>
      </w:pPr>
      <w:bookmarkStart w:id="11" w:name="_Hlk64003021"/>
      <w:r w:rsidRPr="00443DA5">
        <w:rPr>
          <w:i/>
          <w:iCs/>
          <w:lang w:val="en-NZ"/>
        </w:rPr>
        <w:t xml:space="preserve">“To </w:t>
      </w:r>
      <w:r w:rsidRPr="00443DA5">
        <w:rPr>
          <w:i/>
          <w:iCs/>
          <w:u w:val="single"/>
          <w:lang w:val="en-NZ"/>
        </w:rPr>
        <w:t>manage effects on indigenous biodiversity in a way that</w:t>
      </w:r>
      <w:r w:rsidRPr="00443DA5">
        <w:rPr>
          <w:i/>
          <w:iCs/>
          <w:lang w:val="en-NZ"/>
        </w:rPr>
        <w:t xml:space="preserve"> recognises the economic and social importance of renewable energy generation and </w:t>
      </w:r>
      <w:r w:rsidRPr="00443DA5">
        <w:rPr>
          <w:b/>
          <w:bCs/>
          <w:i/>
          <w:iCs/>
          <w:color w:val="4F81BD" w:themeColor="accent1"/>
          <w:u w:val="double"/>
          <w:lang w:val="en-NZ"/>
        </w:rPr>
        <w:t xml:space="preserve">electricity </w:t>
      </w:r>
      <w:r w:rsidRPr="00443DA5">
        <w:rPr>
          <w:i/>
          <w:iCs/>
          <w:lang w:val="en-NZ"/>
        </w:rPr>
        <w:t xml:space="preserve">transmission </w:t>
      </w:r>
      <w:r w:rsidRPr="00443DA5">
        <w:rPr>
          <w:i/>
          <w:iCs/>
          <w:strike/>
          <w:lang w:val="en-NZ"/>
        </w:rPr>
        <w:t>consistent with objectives and policies of this Plan, to</w:t>
      </w:r>
      <w:r w:rsidRPr="00443DA5">
        <w:rPr>
          <w:i/>
          <w:iCs/>
          <w:u w:val="single"/>
          <w:lang w:val="en-NZ"/>
        </w:rPr>
        <w:t xml:space="preserve"> and </w:t>
      </w:r>
      <w:r w:rsidRPr="00443DA5">
        <w:rPr>
          <w:i/>
          <w:iCs/>
          <w:lang w:val="en-NZ"/>
        </w:rPr>
        <w:t>provide</w:t>
      </w:r>
      <w:r w:rsidRPr="00443DA5">
        <w:rPr>
          <w:i/>
          <w:iCs/>
          <w:u w:val="single"/>
          <w:lang w:val="en-NZ"/>
        </w:rPr>
        <w:t>s</w:t>
      </w:r>
      <w:r w:rsidRPr="00443DA5">
        <w:rPr>
          <w:i/>
          <w:iCs/>
          <w:lang w:val="en-NZ"/>
        </w:rPr>
        <w:t xml:space="preserve"> for its </w:t>
      </w:r>
      <w:r w:rsidRPr="00443DA5">
        <w:rPr>
          <w:i/>
          <w:iCs/>
          <w:u w:val="single"/>
          <w:lang w:val="en-NZ"/>
        </w:rPr>
        <w:t>development, operation,</w:t>
      </w:r>
      <w:r w:rsidRPr="00443DA5">
        <w:rPr>
          <w:i/>
          <w:iCs/>
          <w:lang w:val="en-NZ"/>
        </w:rPr>
        <w:t xml:space="preserve"> upgrading</w:t>
      </w:r>
      <w:r w:rsidRPr="00443DA5">
        <w:rPr>
          <w:i/>
          <w:iCs/>
          <w:strike/>
          <w:lang w:val="en-NZ"/>
        </w:rPr>
        <w:t>,</w:t>
      </w:r>
      <w:r w:rsidRPr="00443DA5">
        <w:rPr>
          <w:i/>
          <w:iCs/>
          <w:lang w:val="en-NZ"/>
        </w:rPr>
        <w:t xml:space="preserve"> </w:t>
      </w:r>
      <w:bookmarkEnd w:id="11"/>
      <w:r w:rsidRPr="00443DA5">
        <w:rPr>
          <w:i/>
          <w:iCs/>
          <w:u w:val="single"/>
          <w:lang w:val="en-NZ"/>
        </w:rPr>
        <w:t xml:space="preserve">and </w:t>
      </w:r>
      <w:r w:rsidRPr="00443DA5">
        <w:rPr>
          <w:i/>
          <w:iCs/>
          <w:lang w:val="en-NZ"/>
        </w:rPr>
        <w:t xml:space="preserve">maintenance </w:t>
      </w:r>
      <w:r w:rsidRPr="00443DA5">
        <w:rPr>
          <w:b/>
          <w:bCs/>
          <w:i/>
          <w:iCs/>
          <w:color w:val="4F81BD" w:themeColor="accent1"/>
          <w:u w:val="double"/>
          <w:lang w:val="en-NZ"/>
        </w:rPr>
        <w:t>including</w:t>
      </w:r>
      <w:r w:rsidRPr="00443DA5">
        <w:rPr>
          <w:b/>
          <w:bCs/>
          <w:i/>
          <w:iCs/>
          <w:color w:val="4F81BD" w:themeColor="accent1"/>
          <w:u w:val="single"/>
          <w:lang w:val="en-NZ"/>
        </w:rPr>
        <w:t xml:space="preserve"> </w:t>
      </w:r>
      <w:r w:rsidRPr="00443DA5">
        <w:rPr>
          <w:i/>
          <w:iCs/>
          <w:u w:val="single"/>
          <w:lang w:val="en-NZ"/>
        </w:rPr>
        <w:t>by:</w:t>
      </w:r>
      <w:r w:rsidRPr="00443DA5">
        <w:rPr>
          <w:i/>
          <w:iCs/>
          <w:lang w:val="en-NZ"/>
        </w:rPr>
        <w:t xml:space="preserve"> </w:t>
      </w:r>
      <w:r w:rsidRPr="00443DA5">
        <w:rPr>
          <w:i/>
          <w:iCs/>
          <w:strike/>
          <w:lang w:val="en-NZ"/>
        </w:rPr>
        <w:t>and enhancement.</w:t>
      </w:r>
      <w:r w:rsidRPr="00443DA5">
        <w:rPr>
          <w:i/>
          <w:iCs/>
          <w:lang w:val="en-NZ"/>
        </w:rPr>
        <w:t xml:space="preserve"> …”</w:t>
      </w:r>
    </w:p>
    <w:p w14:paraId="62F4CA4A" w14:textId="5DA3FC4B" w:rsidR="001B1EE4" w:rsidRPr="00443DA5" w:rsidRDefault="00516FB8" w:rsidP="00DD4108">
      <w:pPr>
        <w:pStyle w:val="ListParagraph"/>
        <w:ind w:left="567" w:hanging="567"/>
      </w:pPr>
      <w:r w:rsidRPr="00443DA5">
        <w:t xml:space="preserve">It is acknowledged that </w:t>
      </w:r>
      <w:r w:rsidR="00443DA5" w:rsidRPr="00443DA5">
        <w:t>Policy 7 is the only provision in the Proposed Plan Change that provides for the National Grid, or electricity transmission, generally in an explicit way. This is the scope predicament identified by the Section 42A Report that states:</w:t>
      </w:r>
    </w:p>
    <w:p w14:paraId="7712C241" w14:textId="329719E2" w:rsidR="00443DA5" w:rsidRPr="00443DA5" w:rsidRDefault="00443DA5" w:rsidP="00443DA5">
      <w:pPr>
        <w:pStyle w:val="ListParagraph"/>
        <w:numPr>
          <w:ilvl w:val="0"/>
          <w:numId w:val="0"/>
        </w:numPr>
        <w:ind w:left="567"/>
        <w:rPr>
          <w:i/>
          <w:iCs/>
        </w:rPr>
      </w:pPr>
      <w:r w:rsidRPr="00443DA5">
        <w:rPr>
          <w:i/>
          <w:iCs/>
        </w:rPr>
        <w:t xml:space="preserve">“I consider that what is sought by Transpower extends beyond the scope of a further submission. This is because the additional provisions and changes sought by Genesis and Meridian are limited to the WPS and what is sought by Transpower is an extension beyond this, to apply it to the National Grid. In my view the changes sought are within the scope of PC18 </w:t>
      </w:r>
      <w:proofErr w:type="gramStart"/>
      <w:r w:rsidRPr="00443DA5">
        <w:rPr>
          <w:i/>
          <w:iCs/>
        </w:rPr>
        <w:t>itself, but</w:t>
      </w:r>
      <w:proofErr w:type="gramEnd"/>
      <w:r w:rsidRPr="00443DA5">
        <w:rPr>
          <w:i/>
          <w:iCs/>
        </w:rPr>
        <w:t xml:space="preserve"> should have been made as a primary submission. An example of this is that the further submission ‘supports in part’ Genesis and Meridian’s submission point on Rule 2.1.1. These submitters support the rule as notified as seek its retention. However, in their further submission, Transpower seek that the rule is amended to reference the National Grid – however what is sought therefore does not relate to the original submission, which did not seek changes.”</w:t>
      </w:r>
      <w:r w:rsidRPr="00443DA5">
        <w:rPr>
          <w:rStyle w:val="FootnoteReference"/>
          <w:i/>
          <w:iCs/>
        </w:rPr>
        <w:footnoteReference w:id="10"/>
      </w:r>
    </w:p>
    <w:p w14:paraId="189CFBC3" w14:textId="34FA51B1" w:rsidR="00443DA5" w:rsidRDefault="00443DA5" w:rsidP="008E0317">
      <w:pPr>
        <w:pStyle w:val="ListParagraph"/>
        <w:ind w:left="567" w:hanging="567"/>
      </w:pPr>
      <w:r>
        <w:t xml:space="preserve">I accept that Transpower’s further submission seeks </w:t>
      </w:r>
      <w:r w:rsidR="008E0317">
        <w:t xml:space="preserve">to </w:t>
      </w:r>
      <w:r>
        <w:t>extend provisions that relate to the Waitaki Power Scheme</w:t>
      </w:r>
      <w:r w:rsidR="008E0317">
        <w:t xml:space="preserve"> to encompass the National Grid as a whole</w:t>
      </w:r>
      <w:r w:rsidR="006723EA">
        <w:t xml:space="preserve"> (beyond what is sought in a primary submission)</w:t>
      </w:r>
      <w:r>
        <w:t>, however I consider that the Waitaki Power Scheme</w:t>
      </w:r>
      <w:r w:rsidR="008E0317">
        <w:t>, as defined,</w:t>
      </w:r>
      <w:r>
        <w:t xml:space="preserve"> </w:t>
      </w:r>
      <w:r w:rsidR="008E0317">
        <w:t>includes at least part of the National Grid. That is, the Waitaki Power Scheme is defined as part of the Proposed Plan Change as:</w:t>
      </w:r>
    </w:p>
    <w:p w14:paraId="7EC833B8" w14:textId="24DFCA1C" w:rsidR="008E0317" w:rsidRPr="006723EA" w:rsidRDefault="008E0317" w:rsidP="008E0317">
      <w:pPr>
        <w:pStyle w:val="ListParagraph"/>
        <w:numPr>
          <w:ilvl w:val="0"/>
          <w:numId w:val="0"/>
        </w:numPr>
        <w:ind w:left="567"/>
      </w:pPr>
      <w:r>
        <w:rPr>
          <w:i/>
          <w:iCs/>
          <w:lang w:val="en-NZ"/>
        </w:rPr>
        <w:t>“</w:t>
      </w:r>
      <w:r w:rsidRPr="008E0317">
        <w:rPr>
          <w:b/>
          <w:bCs/>
          <w:i/>
          <w:iCs/>
          <w:lang w:val="en-NZ"/>
        </w:rPr>
        <w:t xml:space="preserve">Waitaki Power Scheme: </w:t>
      </w:r>
      <w:r w:rsidRPr="008E0317">
        <w:rPr>
          <w:i/>
          <w:iCs/>
          <w:lang w:val="en-NZ"/>
        </w:rPr>
        <w:t>means the electricity generation activities in the Waitaki River</w:t>
      </w:r>
      <w:r>
        <w:rPr>
          <w:i/>
          <w:iCs/>
          <w:lang w:val="en-NZ"/>
        </w:rPr>
        <w:t xml:space="preserve"> </w:t>
      </w:r>
      <w:r w:rsidRPr="008E0317">
        <w:rPr>
          <w:i/>
          <w:iCs/>
          <w:lang w:val="en-NZ"/>
        </w:rPr>
        <w:t>Catchment including the structures, works</w:t>
      </w:r>
      <w:r w:rsidRPr="008E0317">
        <w:rPr>
          <w:i/>
          <w:iCs/>
          <w:u w:val="single"/>
          <w:lang w:val="en-NZ"/>
        </w:rPr>
        <w:t xml:space="preserve">, </w:t>
      </w:r>
      <w:r w:rsidRPr="008E0317">
        <w:rPr>
          <w:i/>
          <w:iCs/>
          <w:lang w:val="en-NZ"/>
        </w:rPr>
        <w:t>facilities, components, plant and activities</w:t>
      </w:r>
      <w:r>
        <w:rPr>
          <w:i/>
          <w:iCs/>
          <w:lang w:val="en-NZ"/>
        </w:rPr>
        <w:t xml:space="preserve"> </w:t>
      </w:r>
      <w:r w:rsidRPr="008E0317">
        <w:rPr>
          <w:i/>
          <w:iCs/>
          <w:lang w:val="en-NZ"/>
        </w:rPr>
        <w:t>undertaken to facilitate and enable the generation of electricity from water. It includes power</w:t>
      </w:r>
      <w:r>
        <w:rPr>
          <w:i/>
          <w:iCs/>
          <w:lang w:val="en-NZ"/>
        </w:rPr>
        <w:t xml:space="preserve"> </w:t>
      </w:r>
      <w:r w:rsidRPr="008E0317">
        <w:rPr>
          <w:i/>
          <w:iCs/>
          <w:lang w:val="en-NZ"/>
        </w:rPr>
        <w:t>stations, dams, weirs, control structures, penstocks, canals, tunnels, siphons, spillways, intakes,</w:t>
      </w:r>
      <w:r>
        <w:rPr>
          <w:i/>
          <w:iCs/>
          <w:lang w:val="en-NZ"/>
        </w:rPr>
        <w:t xml:space="preserve"> </w:t>
      </w:r>
      <w:r w:rsidRPr="008E0317">
        <w:rPr>
          <w:i/>
          <w:iCs/>
          <w:lang w:val="en-NZ"/>
        </w:rPr>
        <w:t>storage of goods, materials and substances, switchyards, fish and elver screens and passes,</w:t>
      </w:r>
      <w:r>
        <w:rPr>
          <w:i/>
          <w:iCs/>
          <w:lang w:val="en-NZ"/>
        </w:rPr>
        <w:t xml:space="preserve"> </w:t>
      </w:r>
      <w:r w:rsidRPr="008E0317">
        <w:rPr>
          <w:i/>
          <w:iCs/>
          <w:lang w:val="en-NZ"/>
        </w:rPr>
        <w:t>boom</w:t>
      </w:r>
      <w:r w:rsidRPr="008E0317">
        <w:rPr>
          <w:i/>
          <w:iCs/>
          <w:u w:val="single"/>
          <w:lang w:val="en-NZ"/>
        </w:rPr>
        <w:t>s</w:t>
      </w:r>
      <w:r w:rsidRPr="008E0317">
        <w:rPr>
          <w:i/>
          <w:iCs/>
          <w:lang w:val="en-NZ"/>
        </w:rPr>
        <w:t>, site investigation works, erosion and flood control, access requirements (including</w:t>
      </w:r>
      <w:r>
        <w:rPr>
          <w:i/>
          <w:iCs/>
          <w:lang w:val="en-NZ"/>
        </w:rPr>
        <w:t xml:space="preserve"> </w:t>
      </w:r>
      <w:r w:rsidRPr="008E0317">
        <w:rPr>
          <w:i/>
          <w:iCs/>
          <w:lang w:val="en-NZ"/>
        </w:rPr>
        <w:t xml:space="preserve">public access), jetties, slipways and landing places, signs, earthworks, monitoring, </w:t>
      </w:r>
      <w:r w:rsidRPr="006723EA">
        <w:rPr>
          <w:i/>
          <w:iCs/>
          <w:lang w:val="en-NZ"/>
        </w:rPr>
        <w:t xml:space="preserve">investigation and communication equipment </w:t>
      </w:r>
      <w:r w:rsidRPr="006723EA">
        <w:rPr>
          <w:b/>
          <w:bCs/>
          <w:i/>
          <w:iCs/>
          <w:lang w:val="en-NZ"/>
        </w:rPr>
        <w:t>and transmission network</w:t>
      </w:r>
      <w:r w:rsidRPr="006723EA">
        <w:rPr>
          <w:i/>
          <w:iCs/>
          <w:lang w:val="en-NZ"/>
        </w:rPr>
        <w:t xml:space="preserve">.” </w:t>
      </w:r>
      <w:r w:rsidRPr="006723EA">
        <w:rPr>
          <w:lang w:val="en-NZ"/>
        </w:rPr>
        <w:t>[my emphasis</w:t>
      </w:r>
      <w:r w:rsidR="006723EA" w:rsidRPr="006723EA">
        <w:rPr>
          <w:lang w:val="en-NZ"/>
        </w:rPr>
        <w:t xml:space="preserve"> </w:t>
      </w:r>
      <w:proofErr w:type="gramStart"/>
      <w:r w:rsidR="006723EA" w:rsidRPr="006723EA">
        <w:rPr>
          <w:lang w:val="en-NZ"/>
        </w:rPr>
        <w:t>add</w:t>
      </w:r>
      <w:proofErr w:type="gramEnd"/>
      <w:r w:rsidR="006723EA" w:rsidRPr="006723EA">
        <w:rPr>
          <w:lang w:val="en-NZ"/>
        </w:rPr>
        <w:t xml:space="preserve"> and including amendments recommended in the Section 42A Report</w:t>
      </w:r>
      <w:r w:rsidRPr="006723EA">
        <w:rPr>
          <w:lang w:val="en-NZ"/>
        </w:rPr>
        <w:t>]</w:t>
      </w:r>
    </w:p>
    <w:p w14:paraId="1DFB60BF" w14:textId="50349B50" w:rsidR="006723EA" w:rsidRDefault="006723EA" w:rsidP="006723EA">
      <w:pPr>
        <w:pStyle w:val="ListParagraph"/>
        <w:ind w:left="567" w:hanging="567"/>
      </w:pPr>
      <w:r w:rsidRPr="006723EA">
        <w:t>In this regard, I note that the terms ‘Electricity generation activities’, ‘Waitaki River Catchment’ and ‘transmission network” are not defined in the Propose</w:t>
      </w:r>
      <w:r w:rsidR="00CD775A">
        <w:t>d</w:t>
      </w:r>
      <w:r w:rsidRPr="006723EA">
        <w:t xml:space="preserve"> Plan Change or operative District Plan</w:t>
      </w:r>
      <w:r>
        <w:t>. H</w:t>
      </w:r>
      <w:r w:rsidRPr="006723EA">
        <w:t xml:space="preserve">owever, the transmission network located between the Waitaki Power Scheme assets at Tekapo, </w:t>
      </w:r>
      <w:proofErr w:type="spellStart"/>
      <w:r w:rsidRPr="006723EA">
        <w:t>Pukaki</w:t>
      </w:r>
      <w:proofErr w:type="spellEnd"/>
      <w:r w:rsidRPr="006723EA">
        <w:t xml:space="preserve"> and </w:t>
      </w:r>
      <w:proofErr w:type="spellStart"/>
      <w:r w:rsidRPr="006723EA">
        <w:t>Ohau</w:t>
      </w:r>
      <w:proofErr w:type="spellEnd"/>
      <w:r w:rsidRPr="006723EA">
        <w:t xml:space="preserve"> are specifically recognised in the Operative District Plan as being part of the Waitaki Power Scheme, for instance in Rural Objective 3B(2)</w:t>
      </w:r>
      <w:r>
        <w:t xml:space="preserve"> </w:t>
      </w:r>
      <w:r w:rsidRPr="006723EA">
        <w:t xml:space="preserve">as follows: </w:t>
      </w:r>
    </w:p>
    <w:p w14:paraId="6837B133" w14:textId="6B8EB51C" w:rsidR="006723EA" w:rsidRPr="00CD775A" w:rsidRDefault="00CD775A" w:rsidP="006723EA">
      <w:pPr>
        <w:pStyle w:val="ListParagraph"/>
        <w:numPr>
          <w:ilvl w:val="0"/>
          <w:numId w:val="0"/>
        </w:numPr>
        <w:ind w:left="567"/>
        <w:rPr>
          <w:i/>
          <w:iCs/>
        </w:rPr>
      </w:pPr>
      <w:r>
        <w:rPr>
          <w:i/>
          <w:iCs/>
        </w:rPr>
        <w:t>“</w:t>
      </w:r>
      <w:r w:rsidR="006723EA" w:rsidRPr="00CD775A">
        <w:rPr>
          <w:i/>
          <w:iCs/>
        </w:rPr>
        <w:t xml:space="preserve">(2) </w:t>
      </w:r>
      <w:r w:rsidR="006723EA" w:rsidRPr="00CD775A">
        <w:rPr>
          <w:i/>
          <w:iCs/>
        </w:rPr>
        <w:tab/>
        <w:t>To maintain and develop structures and works for the Waitaki Power Scheme:</w:t>
      </w:r>
    </w:p>
    <w:p w14:paraId="6E67947D" w14:textId="0AD5BFC5" w:rsidR="006723EA" w:rsidRPr="00CD775A" w:rsidRDefault="006723EA" w:rsidP="006723EA">
      <w:pPr>
        <w:pStyle w:val="ListParagraph"/>
        <w:numPr>
          <w:ilvl w:val="0"/>
          <w:numId w:val="0"/>
        </w:numPr>
        <w:ind w:left="567"/>
        <w:rPr>
          <w:i/>
          <w:iCs/>
        </w:rPr>
      </w:pPr>
      <w:r w:rsidRPr="00CD775A">
        <w:rPr>
          <w:i/>
          <w:iCs/>
        </w:rPr>
        <w:t xml:space="preserve">(a) </w:t>
      </w:r>
      <w:r w:rsidRPr="00CD775A">
        <w:rPr>
          <w:i/>
          <w:iCs/>
        </w:rPr>
        <w:tab/>
        <w:t>within the existing footprints of the Tekapo-</w:t>
      </w:r>
      <w:proofErr w:type="spellStart"/>
      <w:r w:rsidRPr="00CD775A">
        <w:rPr>
          <w:i/>
          <w:iCs/>
        </w:rPr>
        <w:t>Pukaki</w:t>
      </w:r>
      <w:proofErr w:type="spellEnd"/>
      <w:r w:rsidRPr="00CD775A">
        <w:rPr>
          <w:i/>
          <w:iCs/>
        </w:rPr>
        <w:t xml:space="preserve"> and </w:t>
      </w:r>
      <w:proofErr w:type="spellStart"/>
      <w:r w:rsidRPr="00CD775A">
        <w:rPr>
          <w:i/>
          <w:iCs/>
        </w:rPr>
        <w:t>Ohau</w:t>
      </w:r>
      <w:proofErr w:type="spellEnd"/>
      <w:r w:rsidRPr="00CD775A">
        <w:rPr>
          <w:i/>
          <w:iCs/>
        </w:rPr>
        <w:t xml:space="preserve"> Canal Corridor, the Tekapo, </w:t>
      </w:r>
      <w:proofErr w:type="spellStart"/>
      <w:r w:rsidRPr="00CD775A">
        <w:rPr>
          <w:i/>
          <w:iCs/>
        </w:rPr>
        <w:t>Pukaki</w:t>
      </w:r>
      <w:proofErr w:type="spellEnd"/>
      <w:r w:rsidRPr="00CD775A">
        <w:rPr>
          <w:i/>
          <w:iCs/>
        </w:rPr>
        <w:t xml:space="preserve"> and </w:t>
      </w:r>
      <w:proofErr w:type="spellStart"/>
      <w:r w:rsidRPr="00CD775A">
        <w:rPr>
          <w:i/>
          <w:iCs/>
        </w:rPr>
        <w:t>Ohau</w:t>
      </w:r>
      <w:proofErr w:type="spellEnd"/>
      <w:r w:rsidRPr="00CD775A">
        <w:rPr>
          <w:i/>
          <w:iCs/>
        </w:rPr>
        <w:t xml:space="preserve"> Rivers, along the existing transmission lines, and in the Crown-owned land containing Lakes Tekapo, </w:t>
      </w:r>
      <w:proofErr w:type="spellStart"/>
      <w:r w:rsidRPr="00CD775A">
        <w:rPr>
          <w:i/>
          <w:iCs/>
        </w:rPr>
        <w:t>Pukaki</w:t>
      </w:r>
      <w:proofErr w:type="spellEnd"/>
      <w:r w:rsidRPr="00CD775A">
        <w:rPr>
          <w:i/>
          <w:iCs/>
        </w:rPr>
        <w:t xml:space="preserve">, </w:t>
      </w:r>
      <w:proofErr w:type="spellStart"/>
      <w:r w:rsidRPr="00CD775A">
        <w:rPr>
          <w:i/>
          <w:iCs/>
        </w:rPr>
        <w:t>Ruataniwha</w:t>
      </w:r>
      <w:proofErr w:type="spellEnd"/>
      <w:r w:rsidRPr="00CD775A">
        <w:rPr>
          <w:i/>
          <w:iCs/>
        </w:rPr>
        <w:t xml:space="preserve"> and </w:t>
      </w:r>
      <w:proofErr w:type="spellStart"/>
      <w:r w:rsidRPr="00CD775A">
        <w:rPr>
          <w:i/>
          <w:iCs/>
        </w:rPr>
        <w:t>Ohau</w:t>
      </w:r>
      <w:proofErr w:type="spellEnd"/>
      <w:r w:rsidRPr="00CD775A">
        <w:rPr>
          <w:i/>
          <w:iCs/>
        </w:rPr>
        <w:t xml:space="preserve"> </w:t>
      </w:r>
      <w:r w:rsidR="00CD775A" w:rsidRPr="00CD775A">
        <w:rPr>
          <w:i/>
          <w:iCs/>
        </w:rPr>
        <w:t>…”</w:t>
      </w:r>
    </w:p>
    <w:p w14:paraId="74F29FD6" w14:textId="3E7C51CA" w:rsidR="006723EA" w:rsidRDefault="00CD775A" w:rsidP="006723EA">
      <w:pPr>
        <w:pStyle w:val="ListParagraph"/>
        <w:ind w:left="567" w:hanging="567"/>
      </w:pPr>
      <w:r>
        <w:t>Transpower is the owner of these transmission assets and as such they form part of the National Grid. It is on this basis that I conclude that specific reference to ‘transmission network’ in the definition of Waitaki Power Scheme must be reference to these parts of Transpower’s electricity transmission network – the National Grid. To clarify and confirm this, I support an amendment to the definition of Waitaki Power Scheme as follows:</w:t>
      </w:r>
    </w:p>
    <w:p w14:paraId="625E7A15" w14:textId="017E85AF" w:rsidR="00E272ED" w:rsidRDefault="00E272ED" w:rsidP="00E272ED">
      <w:pPr>
        <w:pStyle w:val="ListParagraph"/>
        <w:numPr>
          <w:ilvl w:val="0"/>
          <w:numId w:val="0"/>
        </w:numPr>
        <w:ind w:left="567"/>
        <w:rPr>
          <w:i/>
          <w:iCs/>
          <w:lang w:val="en-NZ"/>
        </w:rPr>
      </w:pPr>
      <w:r>
        <w:rPr>
          <w:i/>
          <w:iCs/>
          <w:lang w:val="en-NZ"/>
        </w:rPr>
        <w:t>“</w:t>
      </w:r>
      <w:r w:rsidRPr="008E0317">
        <w:rPr>
          <w:b/>
          <w:bCs/>
          <w:i/>
          <w:iCs/>
          <w:lang w:val="en-NZ"/>
        </w:rPr>
        <w:t xml:space="preserve">Waitaki Power Scheme: </w:t>
      </w:r>
      <w:r w:rsidRPr="008E0317">
        <w:rPr>
          <w:i/>
          <w:iCs/>
          <w:lang w:val="en-NZ"/>
        </w:rPr>
        <w:t>means the electricity generation activities in the Waitaki River</w:t>
      </w:r>
      <w:r>
        <w:rPr>
          <w:i/>
          <w:iCs/>
          <w:lang w:val="en-NZ"/>
        </w:rPr>
        <w:t xml:space="preserve"> </w:t>
      </w:r>
      <w:r w:rsidRPr="008E0317">
        <w:rPr>
          <w:i/>
          <w:iCs/>
          <w:lang w:val="en-NZ"/>
        </w:rPr>
        <w:t>Catchment including</w:t>
      </w:r>
      <w:proofErr w:type="gramStart"/>
      <w:r w:rsidRPr="008E0317">
        <w:rPr>
          <w:i/>
          <w:iCs/>
          <w:lang w:val="en-NZ"/>
        </w:rPr>
        <w:t xml:space="preserve"> </w:t>
      </w:r>
      <w:r w:rsidRPr="00CD775A">
        <w:rPr>
          <w:i/>
          <w:iCs/>
          <w:lang w:val="en-NZ"/>
        </w:rPr>
        <w:t>..</w:t>
      </w:r>
      <w:proofErr w:type="gramEnd"/>
      <w:r w:rsidRPr="00CD775A">
        <w:rPr>
          <w:i/>
          <w:iCs/>
          <w:lang w:val="en-NZ"/>
        </w:rPr>
        <w:t xml:space="preserve"> and </w:t>
      </w:r>
      <w:r w:rsidRPr="00CD775A">
        <w:rPr>
          <w:b/>
          <w:bCs/>
          <w:i/>
          <w:iCs/>
          <w:color w:val="4F81BD" w:themeColor="accent1"/>
          <w:u w:val="double"/>
          <w:lang w:val="en-NZ"/>
        </w:rPr>
        <w:t>the electricity</w:t>
      </w:r>
      <w:r w:rsidRPr="00CD775A">
        <w:rPr>
          <w:i/>
          <w:iCs/>
          <w:color w:val="4F81BD" w:themeColor="accent1"/>
          <w:u w:val="single"/>
          <w:lang w:val="en-NZ"/>
        </w:rPr>
        <w:t xml:space="preserve"> </w:t>
      </w:r>
      <w:r w:rsidRPr="00CD775A">
        <w:rPr>
          <w:i/>
          <w:iCs/>
          <w:lang w:val="en-NZ"/>
        </w:rPr>
        <w:t>transmission network</w:t>
      </w:r>
      <w:r w:rsidRPr="00CD775A">
        <w:rPr>
          <w:b/>
          <w:bCs/>
          <w:i/>
          <w:iCs/>
          <w:color w:val="4F81BD" w:themeColor="accent1"/>
          <w:u w:val="double"/>
          <w:lang w:val="en-NZ"/>
        </w:rPr>
        <w:t xml:space="preserve"> that connects component</w:t>
      </w:r>
      <w:r w:rsidR="00494CB5" w:rsidRPr="00C44F9D">
        <w:rPr>
          <w:b/>
          <w:bCs/>
          <w:i/>
          <w:iCs/>
          <w:color w:val="4F81BD" w:themeColor="accent1"/>
          <w:u w:val="double"/>
          <w:lang w:val="en-NZ"/>
        </w:rPr>
        <w:t>s</w:t>
      </w:r>
      <w:r w:rsidRPr="00CD775A">
        <w:rPr>
          <w:b/>
          <w:bCs/>
          <w:i/>
          <w:iCs/>
          <w:color w:val="4F81BD" w:themeColor="accent1"/>
          <w:u w:val="double"/>
          <w:lang w:val="en-NZ"/>
        </w:rPr>
        <w:t xml:space="preserve"> of the Scheme to each other and to the National Grid</w:t>
      </w:r>
      <w:r w:rsidRPr="00CD775A">
        <w:rPr>
          <w:i/>
          <w:iCs/>
          <w:lang w:val="en-NZ"/>
        </w:rPr>
        <w:t>.”</w:t>
      </w:r>
    </w:p>
    <w:p w14:paraId="425A7E49" w14:textId="53FD3412" w:rsidR="00E272ED" w:rsidRDefault="00E272ED" w:rsidP="006723EA">
      <w:pPr>
        <w:pStyle w:val="ListParagraph"/>
        <w:ind w:left="567" w:hanging="567"/>
      </w:pPr>
      <w:r>
        <w:t>In all, it is my conclusion that limited amendments to Policy 7 and the definition of Waitaki Power Scheme serve to clarify the extent to which the notified Proposed Plan Change provisions apply to the National Grid, as opposed to broadening the ‘reach’ of the provisions. For those National Grid assets that do not form part of the Waitaki Power Scheme, it is my opinion that there is a ‘gap’ in the provisions such that the Proposed Plan Change does not fully give effect to the NPSET.</w:t>
      </w:r>
    </w:p>
    <w:p w14:paraId="236D8C7E" w14:textId="45FFB775" w:rsidR="00064D2A" w:rsidRPr="008613B9" w:rsidRDefault="00064D2A" w:rsidP="008613B9">
      <w:pPr>
        <w:spacing w:before="120" w:line="260" w:lineRule="atLeast"/>
        <w:rPr>
          <w:b/>
          <w:bCs/>
          <w:szCs w:val="22"/>
          <w:lang w:eastAsia="en-US"/>
        </w:rPr>
      </w:pPr>
      <w:r w:rsidRPr="008613B9">
        <w:rPr>
          <w:b/>
          <w:bCs/>
          <w:szCs w:val="22"/>
          <w:lang w:eastAsia="en-US"/>
        </w:rPr>
        <w:t>Biodiversity – New Polic</w:t>
      </w:r>
      <w:r w:rsidR="00236FFC" w:rsidRPr="008613B9">
        <w:rPr>
          <w:b/>
          <w:bCs/>
          <w:szCs w:val="22"/>
          <w:lang w:eastAsia="en-US"/>
        </w:rPr>
        <w:t>ies</w:t>
      </w:r>
    </w:p>
    <w:p w14:paraId="6BB94B91" w14:textId="62FBA84B" w:rsidR="00DD4108" w:rsidRDefault="00E272ED" w:rsidP="005C47DB">
      <w:pPr>
        <w:pStyle w:val="ListParagraph"/>
        <w:ind w:left="567" w:hanging="567"/>
      </w:pPr>
      <w:r>
        <w:t xml:space="preserve">Transpower’s further submission </w:t>
      </w:r>
      <w:r w:rsidR="00236FFC">
        <w:t xml:space="preserve">supports in part the primary submissions made by Mt Gerald Station Limited and The Wolds Station Limited seeking the inclusion of a new Policy </w:t>
      </w:r>
      <w:r w:rsidR="00AB0772">
        <w:t>to enable the</w:t>
      </w:r>
      <w:r w:rsidR="00AB0772" w:rsidRPr="00AB0772">
        <w:t xml:space="preserve"> clearance of significant indigenous vegetation or habitats of indigenous fauna </w:t>
      </w:r>
      <w:r w:rsidR="00AB0772">
        <w:t xml:space="preserve">for certain activities. Transpower’s further submission seeks that the submission be allowed </w:t>
      </w:r>
      <w:r w:rsidR="00AB0772" w:rsidRPr="00AB0772">
        <w:t>to the extent that it provides for the access to, and maintenance of, the National Grid.</w:t>
      </w:r>
    </w:p>
    <w:p w14:paraId="3C571A5B" w14:textId="0547BA98" w:rsidR="00236FFC" w:rsidRDefault="00AB0772" w:rsidP="00AB0772">
      <w:pPr>
        <w:pStyle w:val="ListParagraph"/>
        <w:ind w:left="567" w:hanging="567"/>
      </w:pPr>
      <w:r>
        <w:t>The Section 42A Report recommends that the submission be disallowed and states:</w:t>
      </w:r>
    </w:p>
    <w:p w14:paraId="30CCE67E" w14:textId="71C79244" w:rsidR="00236FFC" w:rsidRPr="00AB0772" w:rsidRDefault="00AB0772" w:rsidP="00AB0772">
      <w:pPr>
        <w:pStyle w:val="ListParagraph"/>
        <w:numPr>
          <w:ilvl w:val="0"/>
          <w:numId w:val="0"/>
        </w:numPr>
        <w:ind w:left="567"/>
      </w:pPr>
      <w:r w:rsidRPr="00AB0772">
        <w:rPr>
          <w:i/>
          <w:iCs/>
        </w:rPr>
        <w:t>“I note that under s32 of the RMA, the test for consideration of policies (and rules) is whether they are the most appropriate to achieve the objectives. In my view, the rule package – discussed further below, should provide for clearance in situations where it will achieve the overarching objective, which is that significant areas are protected. In my view, the policy sought does not align with the objective because it would allow for significant areas to be cleared for the specified activities, regardless of the effects of the clearance, and therefore risk achievement of the objective. I also consider that policy would not align with the direction in s6(c) of the RMA to protect significant areas.”</w:t>
      </w:r>
      <w:r>
        <w:rPr>
          <w:rStyle w:val="FootnoteReference"/>
          <w:i/>
          <w:iCs/>
        </w:rPr>
        <w:footnoteReference w:id="11"/>
      </w:r>
    </w:p>
    <w:p w14:paraId="2AF8B046" w14:textId="732A5CA7" w:rsidR="009A267B" w:rsidRDefault="00DA0F5D" w:rsidP="00965785">
      <w:pPr>
        <w:pStyle w:val="ListParagraph"/>
        <w:ind w:left="567" w:hanging="567"/>
      </w:pPr>
      <w:r>
        <w:t>I agree with the Section 42A Report, that the proposed policy has the potential to result in unfettered clearance for the activities listed in the submissions. I also acknowledge that the implementing rule package includes provisions that provide for indigenous vegetation clearance in certain circumstances and within appropriate parameters.</w:t>
      </w:r>
      <w:r w:rsidR="009A267B">
        <w:rPr>
          <w:rStyle w:val="FootnoteReference"/>
        </w:rPr>
        <w:footnoteReference w:id="12"/>
      </w:r>
      <w:r w:rsidR="00DD5C10">
        <w:t xml:space="preserve"> </w:t>
      </w:r>
      <w:r w:rsidR="009A267B">
        <w:t>This is the case in respect of Tr</w:t>
      </w:r>
      <w:r w:rsidR="00DD5C10">
        <w:t xml:space="preserve">anspower’s further submission </w:t>
      </w:r>
      <w:r w:rsidR="009A267B">
        <w:t xml:space="preserve">that </w:t>
      </w:r>
      <w:r w:rsidR="00DD5C10">
        <w:t>is particularly concerned with access to the National Grid</w:t>
      </w:r>
      <w:r w:rsidR="009A267B">
        <w:t xml:space="preserve"> whereby</w:t>
      </w:r>
      <w:r w:rsidR="00DD5C10">
        <w:t xml:space="preserve"> Rule 1.1.1 provides for clearance associated with the maintenance and repair tracks. </w:t>
      </w:r>
      <w:r w:rsidR="00C95323">
        <w:t>O</w:t>
      </w:r>
      <w:r w:rsidR="009A267B">
        <w:t>n this basis, it is my conclusion that the proposed new policy is not necessary and is not the most appropriate way to achieve the Objectives.</w:t>
      </w:r>
    </w:p>
    <w:p w14:paraId="4A766C21" w14:textId="267E7A4F" w:rsidR="00236FFC" w:rsidRDefault="00236FFC" w:rsidP="00DD4108">
      <w:pPr>
        <w:pStyle w:val="ListParagraph"/>
        <w:ind w:left="567" w:hanging="567"/>
      </w:pPr>
      <w:r>
        <w:t xml:space="preserve">Transpower’s further submission opposes the primary submission made </w:t>
      </w:r>
      <w:r w:rsidR="00C57159">
        <w:t xml:space="preserve">by the Director General of Conservation </w:t>
      </w:r>
      <w:r w:rsidR="0004236E">
        <w:t>(“the Director General”)</w:t>
      </w:r>
      <w:r w:rsidR="00DA0F5D">
        <w:t xml:space="preserve"> </w:t>
      </w:r>
      <w:r w:rsidR="00C57159">
        <w:t>seeking the inclusion of the following new policy:</w:t>
      </w:r>
    </w:p>
    <w:p w14:paraId="29105906" w14:textId="13F56F5F" w:rsidR="00C57159" w:rsidRPr="00C57159" w:rsidRDefault="00C57159" w:rsidP="00C57159">
      <w:pPr>
        <w:pStyle w:val="ListParagraph"/>
        <w:numPr>
          <w:ilvl w:val="0"/>
          <w:numId w:val="0"/>
        </w:numPr>
        <w:ind w:left="567"/>
        <w:rPr>
          <w:i/>
          <w:iCs/>
        </w:rPr>
      </w:pPr>
      <w:r w:rsidRPr="00C57159">
        <w:rPr>
          <w:i/>
          <w:iCs/>
        </w:rPr>
        <w:t>“To avoid adverse effects of subdivision, use and development on significant indigenous vegetation and habitat.”</w:t>
      </w:r>
    </w:p>
    <w:p w14:paraId="4CB80B47" w14:textId="4BA10DA9" w:rsidR="00236FFC" w:rsidRDefault="00C57159" w:rsidP="00DD4108">
      <w:pPr>
        <w:pStyle w:val="ListParagraph"/>
        <w:ind w:left="567" w:hanging="567"/>
      </w:pPr>
      <w:r>
        <w:t xml:space="preserve">As set out above, the Section 42A Report recommends substantial content and structural changes to the </w:t>
      </w:r>
      <w:r w:rsidR="00671D4E">
        <w:t>Section</w:t>
      </w:r>
      <w:r>
        <w:t xml:space="preserve"> 19 Policies. The management of effects on significant indigenous vegetation and habitats is addressed in recommended Policy 3. This Policy requires avoidance of adverse effects in the first instance and where practicable. </w:t>
      </w:r>
    </w:p>
    <w:p w14:paraId="5324D5CC" w14:textId="1A089607" w:rsidR="00236FFC" w:rsidRDefault="0004236E" w:rsidP="00DD4108">
      <w:pPr>
        <w:pStyle w:val="ListParagraph"/>
        <w:ind w:left="567" w:hanging="567"/>
      </w:pPr>
      <w:r>
        <w:t>I do not support the ‘avoid’ policy sought by the Director General on the basis that, insofar as the policy would apply to the National Grid, the NPSET does not require all adverse effects to be avoided, rather the most stringent test in the NPSET is the direction to ‘seek to avoid’ in Policy 8. In my opinion the ‘seek to avoid’ direction is akin to the ‘where practicable’ used in recommended Policy 3 and I therefore support the drafting of Policy 3(a) included in the Section 42A Report.</w:t>
      </w:r>
    </w:p>
    <w:p w14:paraId="6F60774E" w14:textId="12FAEA4E" w:rsidR="00DD4108" w:rsidRPr="00DD4108" w:rsidRDefault="00DD4108" w:rsidP="008613B9">
      <w:pPr>
        <w:spacing w:before="120" w:line="260" w:lineRule="atLeast"/>
        <w:rPr>
          <w:b/>
          <w:bCs/>
        </w:rPr>
      </w:pPr>
      <w:r>
        <w:rPr>
          <w:b/>
          <w:bCs/>
        </w:rPr>
        <w:t>Biodiversity Rules – Permitted Activities excluding Waitaki Power Scheme</w:t>
      </w:r>
    </w:p>
    <w:p w14:paraId="0AB8C98D" w14:textId="229E2381" w:rsidR="00AD03B0" w:rsidRPr="00AD03B0" w:rsidRDefault="00AD03B0" w:rsidP="00AD03B0">
      <w:pPr>
        <w:pStyle w:val="ListParagraph"/>
        <w:ind w:left="567" w:hanging="567"/>
      </w:pPr>
      <w:r w:rsidRPr="00AD03B0">
        <w:t xml:space="preserve">Transpower’s further submission supports the primary submissions made by Mt Gerald Station Limited and The Wolds Station Limited that seeks </w:t>
      </w:r>
      <w:r>
        <w:t>amendments</w:t>
      </w:r>
      <w:r w:rsidRPr="00AD03B0">
        <w:t xml:space="preserve"> to </w:t>
      </w:r>
      <w:r>
        <w:t>Standard (1) in Rule 1.1.1 as foll</w:t>
      </w:r>
      <w:r w:rsidRPr="00AD03B0">
        <w:t>ows:</w:t>
      </w:r>
    </w:p>
    <w:p w14:paraId="2FCE37FB" w14:textId="774AA057" w:rsidR="00DD4108" w:rsidRPr="00AD03B0" w:rsidRDefault="00AD03B0" w:rsidP="00AD03B0">
      <w:pPr>
        <w:pStyle w:val="ListParagraph"/>
        <w:numPr>
          <w:ilvl w:val="0"/>
          <w:numId w:val="0"/>
        </w:numPr>
        <w:ind w:left="567"/>
        <w:rPr>
          <w:i/>
          <w:iCs/>
        </w:rPr>
      </w:pPr>
      <w:r w:rsidRPr="00AD03B0">
        <w:rPr>
          <w:i/>
          <w:iCs/>
        </w:rPr>
        <w:t xml:space="preserve">“The clearance is for the purpose of maintenance or repair </w:t>
      </w:r>
      <w:r w:rsidRPr="00AD03B0">
        <w:rPr>
          <w:i/>
          <w:iCs/>
          <w:u w:val="single"/>
        </w:rPr>
        <w:t>replacement or minor upgrade</w:t>
      </w:r>
      <w:r w:rsidRPr="00AD03B0">
        <w:rPr>
          <w:i/>
          <w:iCs/>
        </w:rPr>
        <w:t xml:space="preserve"> of existing fence lines, vehicle tracks, roads, </w:t>
      </w:r>
      <w:r w:rsidRPr="00AD03B0">
        <w:rPr>
          <w:i/>
          <w:iCs/>
          <w:u w:val="single"/>
        </w:rPr>
        <w:t>stock crossings,</w:t>
      </w:r>
      <w:r w:rsidRPr="00AD03B0">
        <w:rPr>
          <w:i/>
          <w:iCs/>
        </w:rPr>
        <w:t xml:space="preserve"> firebreaks, drains, </w:t>
      </w:r>
      <w:r w:rsidRPr="00AD03B0">
        <w:rPr>
          <w:i/>
          <w:iCs/>
          <w:u w:val="single"/>
        </w:rPr>
        <w:t>ponds, dams,</w:t>
      </w:r>
      <w:r w:rsidRPr="00AD03B0">
        <w:rPr>
          <w:i/>
          <w:iCs/>
        </w:rPr>
        <w:t xml:space="preserve"> stockyards, </w:t>
      </w:r>
      <w:r w:rsidRPr="00AD03B0">
        <w:rPr>
          <w:i/>
          <w:iCs/>
          <w:strike/>
        </w:rPr>
        <w:t xml:space="preserve">farm </w:t>
      </w:r>
      <w:r w:rsidRPr="00AD03B0">
        <w:rPr>
          <w:i/>
          <w:iCs/>
        </w:rPr>
        <w:t>buildings, water troughs</w:t>
      </w:r>
      <w:r w:rsidRPr="00AD03B0">
        <w:rPr>
          <w:i/>
          <w:iCs/>
          <w:u w:val="single"/>
        </w:rPr>
        <w:t>, waterlines, waterway crossings or any other utility</w:t>
      </w:r>
      <w:r w:rsidRPr="00AD03B0">
        <w:rPr>
          <w:i/>
          <w:iCs/>
        </w:rPr>
        <w:t xml:space="preserve"> or airstrips; …”</w:t>
      </w:r>
    </w:p>
    <w:p w14:paraId="4A8305E7" w14:textId="698F0D8A" w:rsidR="00AD03B0" w:rsidRPr="007C27F8" w:rsidRDefault="00AD03B0" w:rsidP="00AD03B0">
      <w:pPr>
        <w:pStyle w:val="ListParagraph"/>
        <w:ind w:left="567" w:hanging="567"/>
      </w:pPr>
      <w:r w:rsidRPr="007C27F8">
        <w:t xml:space="preserve">Transpower’s support </w:t>
      </w:r>
      <w:r w:rsidR="00435E36" w:rsidRPr="007C27F8">
        <w:t xml:space="preserve">for </w:t>
      </w:r>
      <w:r w:rsidRPr="007C27F8">
        <w:t xml:space="preserve">the relief sought is on the basis that the relief </w:t>
      </w:r>
      <w:r w:rsidR="0049756F" w:rsidRPr="007C27F8">
        <w:t>provides for the maintenance, repair, replacement and minor upgrade of</w:t>
      </w:r>
      <w:r w:rsidRPr="007C27F8">
        <w:t xml:space="preserve"> utilities, including the National Grid, and therefore gives effect to the NPSET.</w:t>
      </w:r>
    </w:p>
    <w:p w14:paraId="236A65D4" w14:textId="3F2AB6C5" w:rsidR="009A267B" w:rsidRPr="00671D4E" w:rsidRDefault="007C27F8" w:rsidP="00AD03B0">
      <w:pPr>
        <w:pStyle w:val="ListParagraph"/>
        <w:ind w:left="567" w:hanging="567"/>
      </w:pPr>
      <w:r w:rsidRPr="00671D4E">
        <w:t>The Section 42A Report does not explicitly consider the merits of including reference to clearance for the repair, replacement and minor upgrade of utilities and does not recommend that clearance for maintaining, repairing or minor upgrading is permitted by Rule 1.1.1.</w:t>
      </w:r>
    </w:p>
    <w:p w14:paraId="7F5FD7AC" w14:textId="0E856C60" w:rsidR="00671D4E" w:rsidRPr="00C67E0B" w:rsidRDefault="007C27F8" w:rsidP="00ED6950">
      <w:pPr>
        <w:pStyle w:val="ListParagraph"/>
        <w:ind w:left="567" w:hanging="567"/>
      </w:pPr>
      <w:r w:rsidRPr="00671D4E">
        <w:t xml:space="preserve">In considering the relief sought, I firstly note that the inclusion of a permitted activity for </w:t>
      </w:r>
      <w:r w:rsidR="00671D4E" w:rsidRPr="00671D4E">
        <w:t xml:space="preserve">the maintenance, repair and minor upgrade of </w:t>
      </w:r>
      <w:r w:rsidRPr="00671D4E">
        <w:t>utilities was not needed in the provisions of the Proposed Plan Change as notified</w:t>
      </w:r>
      <w:r w:rsidR="00671D4E" w:rsidRPr="00671D4E">
        <w:t xml:space="preserve"> because Rule 16.1.1.j in Section 16 of the operative District </w:t>
      </w:r>
      <w:r w:rsidR="00671D4E" w:rsidRPr="00C67E0B">
        <w:t>Plan provides for work or activities necessary to continue the operation of an existing utility as a permitted activity and the rules in section 16 take precedence over any other rules that may apply to utilities in the District Plan, unless specifically stated to the contrary.</w:t>
      </w:r>
    </w:p>
    <w:p w14:paraId="27E1FCCC" w14:textId="77777777" w:rsidR="00C67E0B" w:rsidRPr="00C67E0B" w:rsidRDefault="00671D4E" w:rsidP="00671D4E">
      <w:pPr>
        <w:pStyle w:val="ListParagraph"/>
        <w:ind w:left="567" w:hanging="567"/>
      </w:pPr>
      <w:r w:rsidRPr="00C67E0B">
        <w:t>In response to a submission made by the Director General the Section 42A Report has concluded that</w:t>
      </w:r>
      <w:r w:rsidR="00C67E0B" w:rsidRPr="00C67E0B">
        <w:t>:</w:t>
      </w:r>
    </w:p>
    <w:p w14:paraId="1ACFEEF2" w14:textId="5968666B" w:rsidR="00671D4E" w:rsidRPr="001F276E" w:rsidRDefault="00C67E0B" w:rsidP="00C67E0B">
      <w:pPr>
        <w:pStyle w:val="ListParagraph"/>
        <w:numPr>
          <w:ilvl w:val="0"/>
          <w:numId w:val="0"/>
        </w:numPr>
        <w:ind w:left="567"/>
        <w:rPr>
          <w:i/>
          <w:iCs/>
        </w:rPr>
      </w:pPr>
      <w:r w:rsidRPr="00C67E0B">
        <w:rPr>
          <w:i/>
          <w:iCs/>
        </w:rPr>
        <w:t>“</w:t>
      </w:r>
      <w:r w:rsidR="00671D4E" w:rsidRPr="00C67E0B">
        <w:rPr>
          <w:i/>
          <w:iCs/>
        </w:rPr>
        <w:t>Chapter 16 of the MDP relates to utilities. The introduction states that the rules within</w:t>
      </w:r>
      <w:r w:rsidRPr="00C67E0B">
        <w:rPr>
          <w:i/>
          <w:iCs/>
        </w:rPr>
        <w:t xml:space="preserve"> </w:t>
      </w:r>
      <w:r w:rsidR="00671D4E" w:rsidRPr="00C67E0B">
        <w:rPr>
          <w:i/>
          <w:iCs/>
        </w:rPr>
        <w:t>the section take precedence over other rules “that may apply to utilities” in the MDP. The</w:t>
      </w:r>
      <w:r w:rsidRPr="00C67E0B">
        <w:rPr>
          <w:i/>
          <w:iCs/>
        </w:rPr>
        <w:t xml:space="preserve"> </w:t>
      </w:r>
      <w:r w:rsidR="00671D4E" w:rsidRPr="00C67E0B">
        <w:rPr>
          <w:i/>
          <w:iCs/>
        </w:rPr>
        <w:t>rules provide for specified utilities as a permitted activity, subject to meeting standards</w:t>
      </w:r>
      <w:r w:rsidRPr="00C67E0B">
        <w:rPr>
          <w:i/>
          <w:iCs/>
        </w:rPr>
        <w:t xml:space="preserve"> </w:t>
      </w:r>
      <w:r w:rsidR="00671D4E" w:rsidRPr="00C67E0B">
        <w:rPr>
          <w:i/>
          <w:iCs/>
        </w:rPr>
        <w:t>set out. I agree that in order to achieve the outcomes sought in PC18, utilities should be</w:t>
      </w:r>
      <w:r w:rsidRPr="00C67E0B">
        <w:rPr>
          <w:i/>
          <w:iCs/>
        </w:rPr>
        <w:t xml:space="preserve"> </w:t>
      </w:r>
      <w:r w:rsidR="00671D4E" w:rsidRPr="00C67E0B">
        <w:rPr>
          <w:i/>
          <w:iCs/>
        </w:rPr>
        <w:t>subject to the rules in Section 19, and this can be achieved by including a statement at</w:t>
      </w:r>
      <w:r w:rsidRPr="00C67E0B">
        <w:rPr>
          <w:i/>
          <w:iCs/>
        </w:rPr>
        <w:t xml:space="preserve"> </w:t>
      </w:r>
      <w:r w:rsidR="00671D4E" w:rsidRPr="00C67E0B">
        <w:rPr>
          <w:i/>
          <w:iCs/>
        </w:rPr>
        <w:t xml:space="preserve">the start of the rules </w:t>
      </w:r>
      <w:r w:rsidR="00671D4E" w:rsidRPr="001F276E">
        <w:rPr>
          <w:i/>
          <w:iCs/>
        </w:rPr>
        <w:t>explicitly stating this.</w:t>
      </w:r>
      <w:r w:rsidRPr="001F276E">
        <w:rPr>
          <w:i/>
          <w:iCs/>
        </w:rPr>
        <w:t>”</w:t>
      </w:r>
      <w:r w:rsidRPr="001F276E">
        <w:rPr>
          <w:rStyle w:val="FootnoteReference"/>
          <w:i/>
          <w:iCs/>
        </w:rPr>
        <w:footnoteReference w:id="13"/>
      </w:r>
    </w:p>
    <w:p w14:paraId="172B6106" w14:textId="58E69377" w:rsidR="00671D4E" w:rsidRPr="001F276E" w:rsidRDefault="00C67E0B" w:rsidP="00671D4E">
      <w:pPr>
        <w:pStyle w:val="ListParagraph"/>
        <w:ind w:left="567" w:hanging="567"/>
      </w:pPr>
      <w:r w:rsidRPr="001F276E">
        <w:t xml:space="preserve">In recommending this amendment it is not clear whether explicit consideration has </w:t>
      </w:r>
      <w:r w:rsidR="00F55379">
        <w:t xml:space="preserve">been </w:t>
      </w:r>
      <w:r w:rsidRPr="001F276E">
        <w:t>given to the consequences of this amendment in respect of the maintenance, repair and minor upgrading of utilities and whether the provisions (as now recommended) are the most appropriate, efficient and effective in terms of section 32 of the RMA.</w:t>
      </w:r>
    </w:p>
    <w:p w14:paraId="77E76545" w14:textId="0F8FFA97" w:rsidR="001F276E" w:rsidRPr="001F276E" w:rsidRDefault="00C67E0B" w:rsidP="00671D4E">
      <w:pPr>
        <w:pStyle w:val="ListParagraph"/>
        <w:ind w:left="567" w:hanging="567"/>
      </w:pPr>
      <w:r w:rsidRPr="001F276E">
        <w:t>Further, in respect of the National Grid, I consider that failing to provide a pathway for the operation, maintenance, repair and minor upgrading of the National Grid</w:t>
      </w:r>
      <w:r w:rsidR="001F276E" w:rsidRPr="001F276E">
        <w:t>:</w:t>
      </w:r>
    </w:p>
    <w:p w14:paraId="4914A949" w14:textId="24FD007D" w:rsidR="001F276E" w:rsidRPr="001F276E" w:rsidRDefault="001F276E" w:rsidP="001F276E">
      <w:pPr>
        <w:pStyle w:val="ListParagraph"/>
        <w:numPr>
          <w:ilvl w:val="1"/>
          <w:numId w:val="7"/>
        </w:numPr>
        <w:ind w:left="1134" w:hanging="567"/>
      </w:pPr>
      <w:r w:rsidRPr="001F276E">
        <w:t>does not</w:t>
      </w:r>
      <w:r w:rsidR="00C67E0B" w:rsidRPr="001F276E">
        <w:t xml:space="preserve"> give effect to Policies 1, 2 and 5 of the NPSET</w:t>
      </w:r>
      <w:r w:rsidRPr="001F276E">
        <w:t>;</w:t>
      </w:r>
    </w:p>
    <w:p w14:paraId="2AC92D40" w14:textId="55E76992" w:rsidR="00C67E0B" w:rsidRPr="001F276E" w:rsidRDefault="001F276E" w:rsidP="001F276E">
      <w:pPr>
        <w:pStyle w:val="ListParagraph"/>
        <w:numPr>
          <w:ilvl w:val="1"/>
          <w:numId w:val="7"/>
        </w:numPr>
        <w:ind w:left="1134" w:hanging="567"/>
      </w:pPr>
      <w:r w:rsidRPr="001F276E">
        <w:t>does not give effect to</w:t>
      </w:r>
      <w:r w:rsidR="00C67E0B" w:rsidRPr="001F276E">
        <w:t xml:space="preserve"> Policy </w:t>
      </w:r>
      <w:r w:rsidRPr="001F276E">
        <w:t>16.3.4 of the CRPS;</w:t>
      </w:r>
    </w:p>
    <w:p w14:paraId="6FAA5901" w14:textId="39E79310" w:rsidR="001F276E" w:rsidRPr="001F276E" w:rsidRDefault="001F276E" w:rsidP="001F276E">
      <w:pPr>
        <w:pStyle w:val="ListParagraph"/>
        <w:numPr>
          <w:ilvl w:val="1"/>
          <w:numId w:val="7"/>
        </w:numPr>
        <w:ind w:left="1134" w:hanging="567"/>
      </w:pPr>
      <w:r w:rsidRPr="001F276E">
        <w:t>does not align with the provisions in the NESETA; and</w:t>
      </w:r>
    </w:p>
    <w:p w14:paraId="0EE7A668" w14:textId="3B315D37" w:rsidR="001F276E" w:rsidRPr="008613B9" w:rsidRDefault="001F276E" w:rsidP="001F276E">
      <w:pPr>
        <w:pStyle w:val="ListParagraph"/>
        <w:numPr>
          <w:ilvl w:val="1"/>
          <w:numId w:val="7"/>
        </w:numPr>
        <w:ind w:left="1134" w:hanging="567"/>
      </w:pPr>
      <w:r w:rsidRPr="001F276E">
        <w:t>has the effect of frustratin</w:t>
      </w:r>
      <w:r w:rsidR="00146336">
        <w:t>g</w:t>
      </w:r>
      <w:r w:rsidRPr="001F276E">
        <w:t xml:space="preserve"> the removal of vegetation that might be required under the </w:t>
      </w:r>
      <w:r w:rsidRPr="008613B9">
        <w:t>Electricity (Hazards from Trees) Regulation 2003.</w:t>
      </w:r>
    </w:p>
    <w:p w14:paraId="67791394" w14:textId="62CCC23B" w:rsidR="001F276E" w:rsidRPr="008613B9" w:rsidRDefault="001F276E" w:rsidP="000C05C8">
      <w:pPr>
        <w:pStyle w:val="ListParagraph"/>
        <w:ind w:left="567" w:hanging="567"/>
      </w:pPr>
      <w:r w:rsidRPr="008613B9">
        <w:t>For this reason, I support the relief sought in the primary submissions as it relates to utilities generally and proposed the following amendments to Rule 1.1.1:</w:t>
      </w:r>
    </w:p>
    <w:p w14:paraId="64443DB4" w14:textId="30C5DF11" w:rsidR="001F276E" w:rsidRPr="008613B9" w:rsidRDefault="001F276E" w:rsidP="001F276E">
      <w:pPr>
        <w:pStyle w:val="ListParagraph"/>
        <w:numPr>
          <w:ilvl w:val="0"/>
          <w:numId w:val="0"/>
        </w:numPr>
        <w:ind w:left="567"/>
        <w:rPr>
          <w:i/>
          <w:iCs/>
        </w:rPr>
      </w:pPr>
      <w:r w:rsidRPr="008613B9">
        <w:rPr>
          <w:i/>
          <w:iCs/>
        </w:rPr>
        <w:t xml:space="preserve">“Clearance of indigenous vegetation is a permitted activity provided </w:t>
      </w:r>
      <w:r w:rsidRPr="008613B9">
        <w:rPr>
          <w:i/>
          <w:iCs/>
          <w:u w:val="single"/>
        </w:rPr>
        <w:t>one or more of</w:t>
      </w:r>
      <w:r w:rsidRPr="008613B9">
        <w:rPr>
          <w:i/>
          <w:iCs/>
        </w:rPr>
        <w:t xml:space="preserve"> the following conditions are met:</w:t>
      </w:r>
    </w:p>
    <w:p w14:paraId="320B5B3B" w14:textId="5B6E0C03" w:rsidR="001F276E" w:rsidRPr="008613B9" w:rsidRDefault="001F276E" w:rsidP="001F276E">
      <w:pPr>
        <w:pStyle w:val="ListParagraph"/>
        <w:numPr>
          <w:ilvl w:val="0"/>
          <w:numId w:val="28"/>
        </w:numPr>
        <w:rPr>
          <w:i/>
          <w:iCs/>
        </w:rPr>
      </w:pPr>
      <w:r w:rsidRPr="008613B9">
        <w:rPr>
          <w:i/>
          <w:iCs/>
        </w:rPr>
        <w:t xml:space="preserve">The clearance is </w:t>
      </w:r>
      <w:r w:rsidRPr="008613B9">
        <w:rPr>
          <w:i/>
          <w:iCs/>
          <w:u w:val="single"/>
        </w:rPr>
        <w:t xml:space="preserve">within 2m of, and </w:t>
      </w:r>
      <w:r w:rsidRPr="008613B9">
        <w:rPr>
          <w:i/>
          <w:iCs/>
        </w:rPr>
        <w:t>for the purpose of</w:t>
      </w:r>
      <w:r w:rsidRPr="008613B9">
        <w:rPr>
          <w:i/>
          <w:iCs/>
          <w:u w:val="single"/>
        </w:rPr>
        <w:t xml:space="preserve">, </w:t>
      </w:r>
      <w:r w:rsidRPr="008613B9">
        <w:rPr>
          <w:i/>
          <w:iCs/>
        </w:rPr>
        <w:t xml:space="preserve">maintenance or repair of existing fence lines, vehicle tracks, roads, </w:t>
      </w:r>
      <w:r w:rsidRPr="008613B9">
        <w:rPr>
          <w:i/>
          <w:iCs/>
          <w:u w:val="single"/>
        </w:rPr>
        <w:t xml:space="preserve">stock tracks, stock crossings, </w:t>
      </w:r>
      <w:r w:rsidRPr="008613B9">
        <w:rPr>
          <w:i/>
          <w:iCs/>
        </w:rPr>
        <w:t>firebreak</w:t>
      </w:r>
      <w:r w:rsidR="008613B9" w:rsidRPr="008613B9">
        <w:rPr>
          <w:i/>
          <w:iCs/>
        </w:rPr>
        <w:t>s</w:t>
      </w:r>
      <w:r w:rsidRPr="008613B9">
        <w:rPr>
          <w:i/>
          <w:iCs/>
        </w:rPr>
        <w:t xml:space="preserve">, drains, </w:t>
      </w:r>
      <w:r w:rsidR="008613B9" w:rsidRPr="008613B9">
        <w:rPr>
          <w:i/>
          <w:iCs/>
        </w:rPr>
        <w:t>stockyards</w:t>
      </w:r>
      <w:r w:rsidRPr="008613B9">
        <w:rPr>
          <w:i/>
          <w:iCs/>
        </w:rPr>
        <w:t xml:space="preserve">, farm building, water troughs </w:t>
      </w:r>
      <w:r w:rsidRPr="008613B9">
        <w:rPr>
          <w:i/>
          <w:iCs/>
          <w:u w:val="single"/>
        </w:rPr>
        <w:t>and associated reticulation piping</w:t>
      </w:r>
      <w:r w:rsidR="00C44F9D" w:rsidRPr="00C44F9D">
        <w:rPr>
          <w:b/>
          <w:bCs/>
          <w:i/>
          <w:iCs/>
          <w:color w:val="4F81BD" w:themeColor="accent1"/>
          <w:u w:val="double"/>
        </w:rPr>
        <w:t>,</w:t>
      </w:r>
      <w:r w:rsidRPr="008613B9">
        <w:rPr>
          <w:b/>
          <w:bCs/>
          <w:i/>
          <w:iCs/>
          <w:dstrike/>
          <w:color w:val="4F81BD" w:themeColor="accent1"/>
        </w:rPr>
        <w:t xml:space="preserve"> or</w:t>
      </w:r>
      <w:r w:rsidRPr="008613B9">
        <w:rPr>
          <w:i/>
          <w:iCs/>
          <w:color w:val="4F81BD" w:themeColor="accent1"/>
        </w:rPr>
        <w:t xml:space="preserve"> </w:t>
      </w:r>
      <w:r w:rsidRPr="008613B9">
        <w:rPr>
          <w:i/>
          <w:iCs/>
        </w:rPr>
        <w:t>airstr</w:t>
      </w:r>
      <w:r w:rsidR="008613B9" w:rsidRPr="008613B9">
        <w:rPr>
          <w:i/>
          <w:iCs/>
        </w:rPr>
        <w:t>ip</w:t>
      </w:r>
      <w:r w:rsidRPr="008613B9">
        <w:rPr>
          <w:i/>
          <w:iCs/>
        </w:rPr>
        <w:t>s</w:t>
      </w:r>
      <w:r w:rsidR="008613B9" w:rsidRPr="008613B9">
        <w:rPr>
          <w:i/>
          <w:iCs/>
          <w:color w:val="4F81BD" w:themeColor="accent1"/>
          <w:u w:val="double"/>
        </w:rPr>
        <w:t xml:space="preserve"> </w:t>
      </w:r>
      <w:r w:rsidR="008613B9" w:rsidRPr="00C44F9D">
        <w:rPr>
          <w:b/>
          <w:bCs/>
          <w:i/>
          <w:iCs/>
          <w:color w:val="4F81BD" w:themeColor="accent1"/>
          <w:u w:val="double"/>
        </w:rPr>
        <w:t>or the operation, maintenance, repair or upgrade of utilities</w:t>
      </w:r>
      <w:r w:rsidRPr="008613B9">
        <w:rPr>
          <w:i/>
          <w:iCs/>
        </w:rPr>
        <w:t xml:space="preserve">; </w:t>
      </w:r>
      <w:r w:rsidRPr="008613B9">
        <w:rPr>
          <w:i/>
          <w:iCs/>
          <w:u w:val="single"/>
        </w:rPr>
        <w:t>or</w:t>
      </w:r>
      <w:r w:rsidRPr="008613B9">
        <w:rPr>
          <w:i/>
          <w:iCs/>
        </w:rPr>
        <w:t>”</w:t>
      </w:r>
    </w:p>
    <w:p w14:paraId="4D8C0D96" w14:textId="191F5DC6" w:rsidR="00DD4108" w:rsidRPr="00F73F25" w:rsidRDefault="00DD4108" w:rsidP="000C05C8">
      <w:pPr>
        <w:keepNext/>
        <w:spacing w:before="120" w:line="260" w:lineRule="atLeast"/>
        <w:rPr>
          <w:b/>
          <w:bCs/>
        </w:rPr>
      </w:pPr>
      <w:r w:rsidRPr="00F73F25">
        <w:rPr>
          <w:b/>
          <w:bCs/>
        </w:rPr>
        <w:t>Biodiversity Rules – Vegetation clearance associated with the Waitaki Power Scheme</w:t>
      </w:r>
    </w:p>
    <w:p w14:paraId="26E92BD6" w14:textId="7B2C5D76" w:rsidR="00DD4108" w:rsidRPr="00C74B65" w:rsidRDefault="00F73F25" w:rsidP="000C05C8">
      <w:pPr>
        <w:pStyle w:val="ListParagraph"/>
        <w:ind w:left="567" w:hanging="567"/>
      </w:pPr>
      <w:r w:rsidRPr="00C74B65">
        <w:t>Transpower’s further submission supports in part primary submissions made by Genesis and Meridian that:</w:t>
      </w:r>
    </w:p>
    <w:p w14:paraId="700A791E" w14:textId="66BE1978" w:rsidR="00F73F25" w:rsidRPr="000C05C8" w:rsidRDefault="00F73F25" w:rsidP="000C05C8">
      <w:pPr>
        <w:pStyle w:val="ListParagraph"/>
        <w:numPr>
          <w:ilvl w:val="1"/>
          <w:numId w:val="7"/>
        </w:numPr>
        <w:ind w:left="1134" w:hanging="567"/>
      </w:pPr>
      <w:r w:rsidRPr="00C74B65">
        <w:t>seek the retention of Rule 2.1.1</w:t>
      </w:r>
      <w:r w:rsidR="00C74B65" w:rsidRPr="00C74B65">
        <w:t xml:space="preserve"> that provides for indigenous vegetation clearance as a consequence of </w:t>
      </w:r>
      <w:r w:rsidR="00C74B65" w:rsidRPr="000C05C8">
        <w:t xml:space="preserve">an emergency or </w:t>
      </w:r>
      <w:proofErr w:type="gramStart"/>
      <w:r w:rsidR="00C74B65" w:rsidRPr="000C05C8">
        <w:t>failure</w:t>
      </w:r>
      <w:r w:rsidRPr="000C05C8">
        <w:t>;</w:t>
      </w:r>
      <w:proofErr w:type="gramEnd"/>
    </w:p>
    <w:p w14:paraId="761BF0DB" w14:textId="3F1F4D77" w:rsidR="00F73F25" w:rsidRPr="000C05C8" w:rsidRDefault="00F73F25" w:rsidP="000C05C8">
      <w:pPr>
        <w:pStyle w:val="ListParagraph"/>
        <w:numPr>
          <w:ilvl w:val="1"/>
          <w:numId w:val="7"/>
        </w:numPr>
        <w:ind w:left="1134" w:hanging="567"/>
      </w:pPr>
      <w:r w:rsidRPr="000C05C8">
        <w:t xml:space="preserve">seek amendments to Rule 2.1.2 </w:t>
      </w:r>
      <w:r w:rsidR="00C74B65" w:rsidRPr="000C05C8">
        <w:t>to provide for clearance associated with the upgrading of the Waitaki Power Scheme within a Waitaki Power Scheme Management Area;</w:t>
      </w:r>
    </w:p>
    <w:p w14:paraId="2EEBA573" w14:textId="7C744EC0" w:rsidR="00C74B65" w:rsidRPr="000C05C8" w:rsidRDefault="00C74B65" w:rsidP="000C05C8">
      <w:pPr>
        <w:pStyle w:val="ListParagraph"/>
        <w:numPr>
          <w:ilvl w:val="1"/>
          <w:numId w:val="7"/>
        </w:numPr>
        <w:ind w:left="1134" w:hanging="567"/>
      </w:pPr>
      <w:r w:rsidRPr="000C05C8">
        <w:t>seek the inclusion of a new permitted activity rule for vegetation clearance that is permitted by Rule 1.1; and</w:t>
      </w:r>
    </w:p>
    <w:p w14:paraId="0D138F99" w14:textId="7C744EC0" w:rsidR="00C74B65" w:rsidRPr="00EE6CA2" w:rsidRDefault="00C74B65" w:rsidP="000C05C8">
      <w:pPr>
        <w:pStyle w:val="ListParagraph"/>
        <w:numPr>
          <w:ilvl w:val="1"/>
          <w:numId w:val="7"/>
        </w:numPr>
        <w:ind w:left="1134" w:hanging="567"/>
      </w:pPr>
      <w:r w:rsidRPr="000C05C8">
        <w:t xml:space="preserve">seeks amendments to Rule 2.3.1 to clarify that the Rule is a ‘default’ rule for activities </w:t>
      </w:r>
      <w:r w:rsidRPr="00EE6CA2">
        <w:t>not provided elsewhere.</w:t>
      </w:r>
    </w:p>
    <w:p w14:paraId="72301013" w14:textId="19732A1A" w:rsidR="00DD4108" w:rsidRPr="00EE6CA2" w:rsidRDefault="008613B9" w:rsidP="000C05C8">
      <w:pPr>
        <w:pStyle w:val="ListParagraph"/>
        <w:ind w:left="567" w:hanging="567"/>
      </w:pPr>
      <w:r w:rsidRPr="00EE6CA2">
        <w:t xml:space="preserve">Transpower’s further submission seeks that </w:t>
      </w:r>
      <w:r w:rsidR="000C05C8" w:rsidRPr="00EE6CA2">
        <w:t xml:space="preserve">the submissions be allowed subject to a further amendment to include explicit reference to the National Grid in the provisions. </w:t>
      </w:r>
    </w:p>
    <w:p w14:paraId="7222E4F5" w14:textId="4E3C8D66" w:rsidR="000C05C8" w:rsidRPr="00EE6CA2" w:rsidRDefault="000C05C8" w:rsidP="000C05C8">
      <w:pPr>
        <w:pStyle w:val="ListParagraph"/>
        <w:ind w:left="567" w:hanging="567"/>
      </w:pPr>
      <w:r w:rsidRPr="00EE6CA2">
        <w:t>In terms of the outcome sought by Transpower in its further submission, the issue of scope is traverse</w:t>
      </w:r>
      <w:r w:rsidR="00EE6CA2">
        <w:t>d</w:t>
      </w:r>
      <w:r w:rsidRPr="00EE6CA2">
        <w:t xml:space="preserve"> earlier in my evidence. It is accepted that including reference to the National Grid in these provisions broadens the relief sought in the original submissions, but it is also noted that the Waitaki Power Scheme does include Transpower assets and that this can be clarified through a limited amendment to the definition of the Scheme. As such, </w:t>
      </w:r>
      <w:r w:rsidR="00EE6CA2">
        <w:t xml:space="preserve">I do not support the amendments sought in Transpower’s further submission but conclude that </w:t>
      </w:r>
      <w:r w:rsidRPr="00EE6CA2">
        <w:t>Rule 2 applies to the National Grid that is part of the Waitaki Power Scheme and Rule 1 applies to the National Grid otherwise</w:t>
      </w:r>
      <w:r w:rsidR="00EE6CA2" w:rsidRPr="00EE6CA2">
        <w:t xml:space="preserve"> (as addressed above)</w:t>
      </w:r>
      <w:r w:rsidR="00EE6CA2">
        <w:t xml:space="preserve"> by virtue of a recommended amendment so that Section 16 Rules </w:t>
      </w:r>
      <w:r w:rsidR="00312DF5">
        <w:t>do</w:t>
      </w:r>
      <w:r w:rsidR="00EE6CA2">
        <w:t xml:space="preserve"> not take precedence over Section 19</w:t>
      </w:r>
      <w:r w:rsidRPr="00EE6CA2">
        <w:t>.</w:t>
      </w:r>
    </w:p>
    <w:p w14:paraId="33511A3E" w14:textId="48F1E333" w:rsidR="00DD4108" w:rsidRPr="005B18E2" w:rsidRDefault="00DD4108" w:rsidP="00EE6CA2">
      <w:pPr>
        <w:spacing w:before="120" w:line="260" w:lineRule="atLeast"/>
        <w:rPr>
          <w:b/>
          <w:bCs/>
        </w:rPr>
      </w:pPr>
      <w:r w:rsidRPr="005B18E2">
        <w:rPr>
          <w:b/>
          <w:bCs/>
        </w:rPr>
        <w:t>Rural Rules</w:t>
      </w:r>
    </w:p>
    <w:p w14:paraId="62F106FF" w14:textId="38C11863" w:rsidR="00076FF5" w:rsidRPr="005B18E2" w:rsidRDefault="000B4EB6" w:rsidP="000C05C8">
      <w:pPr>
        <w:pStyle w:val="ListParagraph"/>
        <w:ind w:left="567" w:hanging="567"/>
      </w:pPr>
      <w:bookmarkStart w:id="12" w:name="_Hlk63925827"/>
      <w:r w:rsidRPr="005B18E2">
        <w:t xml:space="preserve">Transpower’s further submission supports the primary submissions made by Mt Gerald Station Limited and The Wolds Station Limited that seeks </w:t>
      </w:r>
      <w:r w:rsidR="005B18E2" w:rsidRPr="005B18E2">
        <w:t>an amendment to the exemption in Rule 12.1.1.a as follows:</w:t>
      </w:r>
    </w:p>
    <w:bookmarkEnd w:id="12"/>
    <w:p w14:paraId="62D160E9" w14:textId="31AC714C" w:rsidR="005B18E2" w:rsidRPr="004B5357" w:rsidRDefault="004B5357" w:rsidP="000C05C8">
      <w:pPr>
        <w:pStyle w:val="ListParagraph"/>
        <w:numPr>
          <w:ilvl w:val="0"/>
          <w:numId w:val="0"/>
        </w:numPr>
        <w:ind w:left="567"/>
        <w:rPr>
          <w:i/>
          <w:iCs/>
          <w:highlight w:val="yellow"/>
        </w:rPr>
      </w:pPr>
      <w:r w:rsidRPr="004B5357">
        <w:rPr>
          <w:i/>
          <w:iCs/>
        </w:rPr>
        <w:t xml:space="preserve">“This standard shall not apply to any removal or declared weed pests or vegetation clearance for the purpose of </w:t>
      </w:r>
      <w:r w:rsidRPr="004B5357">
        <w:rPr>
          <w:i/>
          <w:iCs/>
          <w:strike/>
        </w:rPr>
        <w:t>track maintenance or</w:t>
      </w:r>
      <w:r w:rsidRPr="004B5357">
        <w:rPr>
          <w:i/>
          <w:iCs/>
        </w:rPr>
        <w:t xml:space="preserve"> habitat enhancement </w:t>
      </w:r>
      <w:r w:rsidRPr="004B5357">
        <w:rPr>
          <w:i/>
          <w:iCs/>
          <w:u w:val="single"/>
        </w:rPr>
        <w:t>or for the maintenance, repair, replacement or minor upgrade of existing fence lines, tracks, roads, stock crossings, fire breaks, drains, ponds, dams, stockyards, farm buildings, airstrips water troughs, waterlines, waterway crossings or any other utility</w:t>
      </w:r>
      <w:r w:rsidRPr="004B5357">
        <w:rPr>
          <w:i/>
          <w:iCs/>
        </w:rPr>
        <w:t>.”</w:t>
      </w:r>
    </w:p>
    <w:p w14:paraId="79EA92EA" w14:textId="0B9123DD" w:rsidR="004B5357" w:rsidRDefault="004B5357" w:rsidP="000C05C8">
      <w:pPr>
        <w:pStyle w:val="ListParagraph"/>
        <w:ind w:left="567" w:hanging="567"/>
      </w:pPr>
      <w:r>
        <w:t>Transpower’s support of the relief sought is on the basis that the relief includes an exemption for utilities, including the National Grid, and therefore gives effect to the NPSET.</w:t>
      </w:r>
    </w:p>
    <w:p w14:paraId="05F22E6B" w14:textId="4338ED0B" w:rsidR="004B5357" w:rsidRDefault="004B5357" w:rsidP="000C05C8">
      <w:pPr>
        <w:pStyle w:val="ListParagraph"/>
        <w:ind w:left="567" w:hanging="567"/>
      </w:pPr>
      <w:r>
        <w:t>The Section 42A Report concludes:</w:t>
      </w:r>
    </w:p>
    <w:p w14:paraId="36EB836E" w14:textId="4B62D6A8" w:rsidR="004B5357" w:rsidRPr="00576D28" w:rsidRDefault="004B5357" w:rsidP="000C05C8">
      <w:pPr>
        <w:pStyle w:val="ListParagraph"/>
        <w:numPr>
          <w:ilvl w:val="0"/>
          <w:numId w:val="0"/>
        </w:numPr>
        <w:ind w:left="567"/>
        <w:rPr>
          <w:i/>
          <w:iCs/>
        </w:rPr>
      </w:pPr>
      <w:r w:rsidRPr="004B5357">
        <w:rPr>
          <w:i/>
          <w:iCs/>
        </w:rPr>
        <w:t xml:space="preserve">“… in my view, the changes sought by these submitters are outside of the scope of PC18. This is because the submitters seek a change to the current framework as it applies to non-indigenous vegetation clearance. PC18 however, does not propose changes to provisions </w:t>
      </w:r>
      <w:r w:rsidRPr="00576D28">
        <w:rPr>
          <w:i/>
          <w:iCs/>
        </w:rPr>
        <w:t>relating to non-indigenous clearance. For the avoidance of doubt, I consider that reinstating Rule 12.2.1 as it applies to non-indigenous vegetation clearance is within scope, because it is a consequential change relating to the shifting of the indigenous biodiversity provisions. Regardless of scope, I consider that these changes are in any case more appropriately considered as part of the wider District Plan review in due course, at the same time the overall policy framework is also reviewed.”</w:t>
      </w:r>
      <w:r w:rsidRPr="00576D28">
        <w:rPr>
          <w:rStyle w:val="FootnoteReference"/>
          <w:i/>
          <w:iCs/>
        </w:rPr>
        <w:footnoteReference w:id="14"/>
      </w:r>
    </w:p>
    <w:p w14:paraId="306327A6" w14:textId="66B05DA9" w:rsidR="00F73F25" w:rsidRPr="00EE6CA2" w:rsidRDefault="00A13F87" w:rsidP="000C05C8">
      <w:pPr>
        <w:pStyle w:val="ListParagraph"/>
        <w:ind w:left="567" w:hanging="567"/>
      </w:pPr>
      <w:r w:rsidRPr="00EE6CA2">
        <w:t xml:space="preserve">I acknowledge the Section 42A Report position that the changes sought are better addressed as part of a District Plan review process. That said, in the case of utilities it is my view that expanding </w:t>
      </w:r>
      <w:r w:rsidR="00D21AC2" w:rsidRPr="00EE6CA2">
        <w:t>the exemption to provide for their maintenance, repair, replacement or minor upgrading is unnecessary because</w:t>
      </w:r>
      <w:r w:rsidR="00F73F25" w:rsidRPr="00EE6CA2">
        <w:t>, as set out above,</w:t>
      </w:r>
      <w:r w:rsidR="00D21AC2" w:rsidRPr="00EE6CA2">
        <w:t xml:space="preserve"> Rule 1.1.j in Section 16 – Utilities of the District Plan provides for</w:t>
      </w:r>
      <w:r w:rsidR="00576D28" w:rsidRPr="00EE6CA2">
        <w:t xml:space="preserve"> work or</w:t>
      </w:r>
      <w:r w:rsidR="00D21AC2" w:rsidRPr="00EE6CA2">
        <w:t xml:space="preserve"> activities necessary to continue the operation of an existing utility as a permitted activity in any case. </w:t>
      </w:r>
      <w:r w:rsidR="00EE6CA2" w:rsidRPr="00EE6CA2">
        <w:t>Rule 16.1.1.j reads as follows:</w:t>
      </w:r>
    </w:p>
    <w:p w14:paraId="2F7585BE" w14:textId="72D6DF29" w:rsidR="00EE6CA2" w:rsidRPr="00EE6CA2" w:rsidRDefault="00EE6CA2" w:rsidP="00EE6CA2">
      <w:pPr>
        <w:pStyle w:val="ListParagraph"/>
        <w:numPr>
          <w:ilvl w:val="0"/>
          <w:numId w:val="0"/>
        </w:numPr>
        <w:ind w:left="1134" w:hanging="567"/>
        <w:rPr>
          <w:i/>
          <w:iCs/>
        </w:rPr>
      </w:pPr>
      <w:r w:rsidRPr="00EE6CA2">
        <w:rPr>
          <w:i/>
          <w:iCs/>
        </w:rPr>
        <w:t>“The maintenance, replacement or upgrading of the following utilities where:</w:t>
      </w:r>
    </w:p>
    <w:p w14:paraId="7AD97E04" w14:textId="0954FD05" w:rsidR="00EE6CA2" w:rsidRPr="00EE6CA2" w:rsidRDefault="00EE6CA2" w:rsidP="00EE6CA2">
      <w:pPr>
        <w:pStyle w:val="ListParagraph"/>
        <w:numPr>
          <w:ilvl w:val="0"/>
          <w:numId w:val="0"/>
        </w:numPr>
        <w:ind w:left="1134" w:hanging="567"/>
        <w:rPr>
          <w:i/>
          <w:iCs/>
        </w:rPr>
      </w:pPr>
      <w:r w:rsidRPr="00EE6CA2">
        <w:rPr>
          <w:i/>
          <w:iCs/>
        </w:rPr>
        <w:t xml:space="preserve">i. </w:t>
      </w:r>
      <w:r w:rsidRPr="00EE6CA2">
        <w:rPr>
          <w:i/>
          <w:iCs/>
        </w:rPr>
        <w:tab/>
        <w:t>maintenance and replacement shall mean any work or activity necessary to continue the operation and/or functioning of an existing utility and shall also provide for the replacement of an existing line, building, structure or other facility with another of the same or similar height, size or scale, within the same or similar position and for the same or similar purpose; and</w:t>
      </w:r>
    </w:p>
    <w:p w14:paraId="55F1BC27" w14:textId="32601E36" w:rsidR="00EE6CA2" w:rsidRPr="00EE6CA2" w:rsidRDefault="00EE6CA2" w:rsidP="00EE6CA2">
      <w:pPr>
        <w:pStyle w:val="ListParagraph"/>
        <w:numPr>
          <w:ilvl w:val="0"/>
          <w:numId w:val="0"/>
        </w:numPr>
        <w:ind w:left="1134" w:hanging="567"/>
        <w:rPr>
          <w:i/>
          <w:iCs/>
        </w:rPr>
      </w:pPr>
      <w:r w:rsidRPr="00EE6CA2">
        <w:rPr>
          <w:i/>
          <w:iCs/>
        </w:rPr>
        <w:t>ii.</w:t>
      </w:r>
      <w:r w:rsidRPr="00EE6CA2">
        <w:rPr>
          <w:i/>
          <w:iCs/>
        </w:rPr>
        <w:tab/>
        <w:t xml:space="preserve">upgrading means an increase in the carrying capacity, or security, of the line (e.g. such as adding additional circuits, reconductoring of the line with higher capacity conductors, </w:t>
      </w:r>
      <w:proofErr w:type="spellStart"/>
      <w:r w:rsidRPr="00EE6CA2">
        <w:rPr>
          <w:i/>
          <w:iCs/>
        </w:rPr>
        <w:t>resagging</w:t>
      </w:r>
      <w:proofErr w:type="spellEnd"/>
      <w:r w:rsidRPr="00EE6CA2">
        <w:rPr>
          <w:i/>
          <w:iCs/>
        </w:rPr>
        <w:t xml:space="preserve"> of conductors, the addition of longer or more efficient insulators, the addition of </w:t>
      </w:r>
      <w:proofErr w:type="spellStart"/>
      <w:r w:rsidRPr="00EE6CA2">
        <w:rPr>
          <w:i/>
          <w:iCs/>
        </w:rPr>
        <w:t>earthwires</w:t>
      </w:r>
      <w:proofErr w:type="spellEnd"/>
      <w:r w:rsidRPr="00EE6CA2">
        <w:rPr>
          <w:i/>
          <w:iCs/>
        </w:rPr>
        <w:t xml:space="preserve"> which may contain telecommunications lines, </w:t>
      </w:r>
      <w:proofErr w:type="spellStart"/>
      <w:r w:rsidRPr="00EE6CA2">
        <w:rPr>
          <w:i/>
          <w:iCs/>
        </w:rPr>
        <w:t>earthpeaks</w:t>
      </w:r>
      <w:proofErr w:type="spellEnd"/>
      <w:r w:rsidRPr="00EE6CA2">
        <w:rPr>
          <w:i/>
          <w:iCs/>
        </w:rPr>
        <w:t xml:space="preserve"> and lightning rods) utilising the existing support structures or structures of a similar scale and character. A change in voltage will only be included when there is no physical change to the line, (e.g. where a line has been constructed to operate at a certain voltage but has been operating at a lesser voltage).</w:t>
      </w:r>
    </w:p>
    <w:p w14:paraId="3C4FC8F9" w14:textId="6E5C4CB6" w:rsidR="00EE6CA2" w:rsidRPr="00EE6CA2" w:rsidRDefault="00EE6CA2" w:rsidP="00EE6CA2">
      <w:pPr>
        <w:pStyle w:val="ListParagraph"/>
        <w:numPr>
          <w:ilvl w:val="0"/>
          <w:numId w:val="0"/>
        </w:numPr>
        <w:ind w:left="1701" w:hanging="567"/>
        <w:rPr>
          <w:i/>
          <w:iCs/>
        </w:rPr>
      </w:pPr>
      <w:r w:rsidRPr="00EE6CA2">
        <w:rPr>
          <w:i/>
          <w:iCs/>
        </w:rPr>
        <w:t xml:space="preserve">• </w:t>
      </w:r>
      <w:r w:rsidRPr="00EE6CA2">
        <w:rPr>
          <w:i/>
          <w:iCs/>
        </w:rPr>
        <w:tab/>
        <w:t>existing lines above ground for conveying electricity at all voltages and capacities and existing lines as defined by Section 2(1A) of the Telecommunications Act 1987.</w:t>
      </w:r>
    </w:p>
    <w:p w14:paraId="5BDDDAFD" w14:textId="0E0B9B95" w:rsidR="00EE6CA2" w:rsidRPr="00EE6CA2" w:rsidRDefault="00EE6CA2" w:rsidP="00EE6CA2">
      <w:pPr>
        <w:pStyle w:val="ListParagraph"/>
        <w:numPr>
          <w:ilvl w:val="0"/>
          <w:numId w:val="0"/>
        </w:numPr>
        <w:ind w:left="1701" w:hanging="567"/>
        <w:rPr>
          <w:i/>
          <w:iCs/>
        </w:rPr>
      </w:pPr>
      <w:r w:rsidRPr="00EE6CA2">
        <w:rPr>
          <w:i/>
          <w:iCs/>
        </w:rPr>
        <w:t xml:space="preserve">• </w:t>
      </w:r>
      <w:r w:rsidRPr="00EE6CA2">
        <w:rPr>
          <w:i/>
          <w:iCs/>
        </w:rPr>
        <w:tab/>
        <w:t>existing telecommunication and radiocommunication facilities.</w:t>
      </w:r>
    </w:p>
    <w:p w14:paraId="6926F047" w14:textId="6067ED68" w:rsidR="00EE6CA2" w:rsidRPr="00EE6CA2" w:rsidRDefault="00EE6CA2" w:rsidP="00EE6CA2">
      <w:pPr>
        <w:pStyle w:val="ListParagraph"/>
        <w:numPr>
          <w:ilvl w:val="0"/>
          <w:numId w:val="0"/>
        </w:numPr>
        <w:ind w:left="1701" w:hanging="567"/>
        <w:rPr>
          <w:i/>
          <w:iCs/>
        </w:rPr>
      </w:pPr>
      <w:r w:rsidRPr="00EE6CA2">
        <w:rPr>
          <w:i/>
          <w:iCs/>
        </w:rPr>
        <w:t xml:space="preserve">• </w:t>
      </w:r>
      <w:r w:rsidRPr="00EE6CA2">
        <w:rPr>
          <w:i/>
          <w:iCs/>
        </w:rPr>
        <w:tab/>
        <w:t>existing buildings and depots.</w:t>
      </w:r>
    </w:p>
    <w:p w14:paraId="15DCC1DE" w14:textId="4381AA1D" w:rsidR="00EE6CA2" w:rsidRPr="00EE6CA2" w:rsidRDefault="00EE6CA2" w:rsidP="00EE6CA2">
      <w:pPr>
        <w:pStyle w:val="ListParagraph"/>
        <w:numPr>
          <w:ilvl w:val="0"/>
          <w:numId w:val="0"/>
        </w:numPr>
        <w:ind w:left="1701" w:hanging="567"/>
        <w:rPr>
          <w:i/>
          <w:iCs/>
        </w:rPr>
      </w:pPr>
      <w:r w:rsidRPr="00EE6CA2">
        <w:rPr>
          <w:i/>
          <w:iCs/>
        </w:rPr>
        <w:t xml:space="preserve">• </w:t>
      </w:r>
      <w:r w:rsidRPr="00EE6CA2">
        <w:rPr>
          <w:i/>
          <w:iCs/>
        </w:rPr>
        <w:tab/>
        <w:t>existing weather radar, automatic weather stations and water level recorders.</w:t>
      </w:r>
    </w:p>
    <w:p w14:paraId="51060E9B" w14:textId="01BCCFEF" w:rsidR="00EE6CA2" w:rsidRPr="00EE6CA2" w:rsidRDefault="00EE6CA2" w:rsidP="00EE6CA2">
      <w:pPr>
        <w:pStyle w:val="ListParagraph"/>
        <w:numPr>
          <w:ilvl w:val="0"/>
          <w:numId w:val="0"/>
        </w:numPr>
        <w:ind w:left="1701" w:hanging="567"/>
        <w:rPr>
          <w:i/>
          <w:iCs/>
        </w:rPr>
      </w:pPr>
      <w:r w:rsidRPr="00EE6CA2">
        <w:rPr>
          <w:i/>
          <w:iCs/>
        </w:rPr>
        <w:t>•</w:t>
      </w:r>
      <w:r w:rsidRPr="00EE6CA2">
        <w:rPr>
          <w:i/>
          <w:iCs/>
        </w:rPr>
        <w:tab/>
        <w:t>existing river protection works.</w:t>
      </w:r>
    </w:p>
    <w:p w14:paraId="706B298C" w14:textId="276CD41F" w:rsidR="00EE6CA2" w:rsidRPr="00EE6CA2" w:rsidRDefault="00EE6CA2" w:rsidP="00EE6CA2">
      <w:pPr>
        <w:pStyle w:val="ListParagraph"/>
        <w:numPr>
          <w:ilvl w:val="0"/>
          <w:numId w:val="0"/>
        </w:numPr>
        <w:ind w:left="1701" w:hanging="567"/>
        <w:rPr>
          <w:i/>
          <w:iCs/>
        </w:rPr>
      </w:pPr>
      <w:r w:rsidRPr="00EE6CA2">
        <w:rPr>
          <w:i/>
          <w:iCs/>
        </w:rPr>
        <w:t xml:space="preserve">• </w:t>
      </w:r>
      <w:r w:rsidRPr="00EE6CA2">
        <w:rPr>
          <w:i/>
          <w:iCs/>
        </w:rPr>
        <w:tab/>
        <w:t>Navigational aids and beacons.</w:t>
      </w:r>
    </w:p>
    <w:p w14:paraId="5A25C683" w14:textId="78E5EAC7" w:rsidR="00EE6CA2" w:rsidRPr="00EE6CA2" w:rsidRDefault="00EE6CA2" w:rsidP="00EE6CA2">
      <w:pPr>
        <w:pStyle w:val="ListParagraph"/>
        <w:numPr>
          <w:ilvl w:val="0"/>
          <w:numId w:val="0"/>
        </w:numPr>
        <w:ind w:left="1701" w:hanging="567"/>
        <w:rPr>
          <w:i/>
          <w:iCs/>
        </w:rPr>
      </w:pPr>
      <w:r w:rsidRPr="00EE6CA2">
        <w:rPr>
          <w:i/>
          <w:iCs/>
        </w:rPr>
        <w:t xml:space="preserve">• </w:t>
      </w:r>
      <w:r w:rsidRPr="00EE6CA2">
        <w:rPr>
          <w:i/>
          <w:iCs/>
        </w:rPr>
        <w:tab/>
        <w:t>The Meridian Energy Limited Tekapo Intake Structure</w:t>
      </w:r>
    </w:p>
    <w:p w14:paraId="763D63BB" w14:textId="043824BC" w:rsidR="00EE6CA2" w:rsidRPr="00EE6CA2" w:rsidRDefault="00EE6CA2" w:rsidP="00EE6CA2">
      <w:pPr>
        <w:pStyle w:val="ListParagraph"/>
        <w:numPr>
          <w:ilvl w:val="0"/>
          <w:numId w:val="0"/>
        </w:numPr>
        <w:ind w:left="1701" w:hanging="567"/>
        <w:rPr>
          <w:i/>
          <w:iCs/>
        </w:rPr>
      </w:pPr>
      <w:r w:rsidRPr="00EE6CA2">
        <w:rPr>
          <w:i/>
          <w:iCs/>
        </w:rPr>
        <w:t xml:space="preserve">• </w:t>
      </w:r>
      <w:r w:rsidRPr="00EE6CA2">
        <w:rPr>
          <w:i/>
          <w:iCs/>
        </w:rPr>
        <w:tab/>
        <w:t>The Meridian Energy Limited Tekapo Intake Control and Communications Shed</w:t>
      </w:r>
    </w:p>
    <w:p w14:paraId="2C27FC77" w14:textId="7B584410" w:rsidR="00EE6CA2" w:rsidRPr="00EE6CA2" w:rsidRDefault="00EE6CA2" w:rsidP="00EE6CA2">
      <w:pPr>
        <w:pStyle w:val="ListParagraph"/>
        <w:numPr>
          <w:ilvl w:val="0"/>
          <w:numId w:val="0"/>
        </w:numPr>
        <w:ind w:left="1701" w:hanging="567"/>
        <w:rPr>
          <w:i/>
          <w:iCs/>
        </w:rPr>
      </w:pPr>
      <w:r w:rsidRPr="00EE6CA2">
        <w:rPr>
          <w:i/>
          <w:iCs/>
        </w:rPr>
        <w:t xml:space="preserve">• </w:t>
      </w:r>
      <w:r w:rsidRPr="00EE6CA2">
        <w:rPr>
          <w:i/>
          <w:iCs/>
        </w:rPr>
        <w:tab/>
        <w:t>The Meridian Energy Limited Tekapo Control Gate Structure</w:t>
      </w:r>
    </w:p>
    <w:p w14:paraId="1706012D" w14:textId="1411699B" w:rsidR="00EE6CA2" w:rsidRPr="00EE6CA2" w:rsidRDefault="00EE6CA2" w:rsidP="00EE6CA2">
      <w:pPr>
        <w:pStyle w:val="ListParagraph"/>
        <w:numPr>
          <w:ilvl w:val="0"/>
          <w:numId w:val="0"/>
        </w:numPr>
        <w:ind w:left="1701" w:hanging="567"/>
        <w:rPr>
          <w:i/>
          <w:iCs/>
        </w:rPr>
      </w:pPr>
      <w:r w:rsidRPr="00EE6CA2">
        <w:rPr>
          <w:i/>
          <w:iCs/>
        </w:rPr>
        <w:t xml:space="preserve">• </w:t>
      </w:r>
      <w:r w:rsidRPr="00EE6CA2">
        <w:rPr>
          <w:i/>
          <w:iCs/>
        </w:rPr>
        <w:tab/>
        <w:t>The Meridian Energy Limited Tekapo Tunnel Structure”</w:t>
      </w:r>
    </w:p>
    <w:p w14:paraId="66FB1387" w14:textId="03C5DFBB" w:rsidR="00D21AC2" w:rsidRDefault="00D21AC2" w:rsidP="004B5357">
      <w:pPr>
        <w:pStyle w:val="ListParagraph"/>
        <w:ind w:left="567" w:hanging="567"/>
      </w:pPr>
      <w:r w:rsidRPr="00576D28">
        <w:t>In my opinion th</w:t>
      </w:r>
      <w:r w:rsidR="00EE6CA2">
        <w:t>e provisions that apply</w:t>
      </w:r>
      <w:r w:rsidRPr="00576D28">
        <w:t xml:space="preserve"> could be clarified by the inclusion of a cross-reference to Rule 16.1.1.j in </w:t>
      </w:r>
      <w:r w:rsidR="00576D28" w:rsidRPr="00576D28">
        <w:t>Rule 12.1.1</w:t>
      </w:r>
      <w:r w:rsidRPr="00576D28">
        <w:t xml:space="preserve"> as follows:</w:t>
      </w:r>
    </w:p>
    <w:p w14:paraId="6D2EBB5D" w14:textId="04095B60" w:rsidR="00576D28" w:rsidRDefault="00576D28" w:rsidP="00576D28">
      <w:pPr>
        <w:pStyle w:val="ListParagraph"/>
        <w:numPr>
          <w:ilvl w:val="0"/>
          <w:numId w:val="0"/>
        </w:numPr>
        <w:ind w:left="1134" w:hanging="567"/>
      </w:pPr>
      <w:r w:rsidRPr="00576D28">
        <w:t>“</w:t>
      </w:r>
      <w:r w:rsidRPr="00E322CF">
        <w:rPr>
          <w:b/>
          <w:bCs/>
          <w:i/>
          <w:iCs/>
          <w:color w:val="4F81BD" w:themeColor="accent1"/>
          <w:u w:val="double"/>
        </w:rPr>
        <w:t>(x)</w:t>
      </w:r>
      <w:r w:rsidRPr="00E322CF">
        <w:rPr>
          <w:b/>
          <w:bCs/>
          <w:i/>
          <w:iCs/>
          <w:color w:val="4F81BD" w:themeColor="accent1"/>
          <w:u w:val="double"/>
        </w:rPr>
        <w:tab/>
        <w:t>This standard shall not apply to the maintenance, replacement o</w:t>
      </w:r>
      <w:r w:rsidR="00CF366D">
        <w:rPr>
          <w:b/>
          <w:bCs/>
          <w:i/>
          <w:iCs/>
          <w:color w:val="4F81BD" w:themeColor="accent1"/>
          <w:u w:val="double"/>
        </w:rPr>
        <w:t>r</w:t>
      </w:r>
      <w:r w:rsidRPr="00E322CF">
        <w:rPr>
          <w:b/>
          <w:bCs/>
          <w:i/>
          <w:iCs/>
          <w:color w:val="4F81BD" w:themeColor="accent1"/>
          <w:u w:val="double"/>
        </w:rPr>
        <w:t xml:space="preserve"> upgrading of utilities permitted by Rule 16.1.1.j.</w:t>
      </w:r>
      <w:r w:rsidRPr="00576D28">
        <w:t>”</w:t>
      </w:r>
    </w:p>
    <w:p w14:paraId="6253AC23" w14:textId="0FCFAD4B" w:rsidR="00576D28" w:rsidRDefault="00576D28" w:rsidP="004B5357">
      <w:pPr>
        <w:pStyle w:val="ListParagraph"/>
        <w:ind w:left="567" w:hanging="567"/>
      </w:pPr>
      <w:r>
        <w:t xml:space="preserve">Transpower’s further submission also supports in part the submission made by </w:t>
      </w:r>
      <w:proofErr w:type="spellStart"/>
      <w:r>
        <w:t>Opuha</w:t>
      </w:r>
      <w:proofErr w:type="spellEnd"/>
      <w:r>
        <w:t xml:space="preserve"> Water Limited seeking an exemption for vegetation clearance associated with the operation and maintenance (including emergencies) of the </w:t>
      </w:r>
      <w:proofErr w:type="spellStart"/>
      <w:r>
        <w:t>Opuha</w:t>
      </w:r>
      <w:proofErr w:type="spellEnd"/>
      <w:r>
        <w:t xml:space="preserve"> Scheme. Transpower’s further submission sought that the exemption be expanded to also provided for vegetation clearance associated with the National Grid.</w:t>
      </w:r>
    </w:p>
    <w:p w14:paraId="6C639AA2" w14:textId="58192028" w:rsidR="00576D28" w:rsidRPr="00576D28" w:rsidRDefault="00576D28" w:rsidP="004B5357">
      <w:pPr>
        <w:pStyle w:val="ListParagraph"/>
        <w:ind w:left="567" w:hanging="567"/>
      </w:pPr>
      <w:r>
        <w:t>As set out above, it is my opinion that vegetation clearance for the maintenance, replacement and upgrading of the National Grid is already permitted by Rule 16.1.1.j and therefore the relief sought in Transpower’s further submission is unnecessary.</w:t>
      </w:r>
    </w:p>
    <w:p w14:paraId="5CF56D15" w14:textId="31EDE1D9" w:rsidR="00DD4108" w:rsidRPr="00DD4108" w:rsidRDefault="00DD4108" w:rsidP="00DD4108">
      <w:pPr>
        <w:rPr>
          <w:b/>
          <w:bCs/>
        </w:rPr>
      </w:pPr>
      <w:r w:rsidRPr="00DD4108">
        <w:rPr>
          <w:b/>
          <w:bCs/>
        </w:rPr>
        <w:t>Definitions</w:t>
      </w:r>
      <w:r>
        <w:rPr>
          <w:b/>
          <w:bCs/>
        </w:rPr>
        <w:t xml:space="preserve"> – New Definition</w:t>
      </w:r>
    </w:p>
    <w:p w14:paraId="42789129" w14:textId="45E1AC27" w:rsidR="00AE0D29" w:rsidRDefault="00DD4108" w:rsidP="00DD4108">
      <w:pPr>
        <w:pStyle w:val="ListParagraph"/>
        <w:ind w:left="567" w:hanging="567"/>
      </w:pPr>
      <w:r w:rsidRPr="00DD4108">
        <w:t xml:space="preserve">Transpower’s further submission supports </w:t>
      </w:r>
      <w:r>
        <w:t xml:space="preserve">in part </w:t>
      </w:r>
      <w:r w:rsidRPr="00DD4108">
        <w:t>the primary submission made by EDS that seeks the inclusion of a new definition of “Site of Natural Significance (or SONS)”</w:t>
      </w:r>
      <w:r w:rsidR="00AE0D29">
        <w:t xml:space="preserve"> as follows:</w:t>
      </w:r>
    </w:p>
    <w:p w14:paraId="32BC4B58" w14:textId="7E32F309" w:rsidR="00AE0D29" w:rsidRPr="00AE0D29" w:rsidRDefault="00AE0D29" w:rsidP="00AE0D29">
      <w:pPr>
        <w:pStyle w:val="ListParagraph"/>
        <w:numPr>
          <w:ilvl w:val="0"/>
          <w:numId w:val="0"/>
        </w:numPr>
        <w:ind w:left="567"/>
        <w:rPr>
          <w:i/>
          <w:iCs/>
        </w:rPr>
      </w:pPr>
      <w:r>
        <w:rPr>
          <w:i/>
          <w:iCs/>
        </w:rPr>
        <w:t>“SONS means significant sites of indigenous vegetation and fauna habitat identified in the District Plan maps. Not all sites qualifying as significant under s6(c) RMA and Policy 9.3.1 RPS in the District have been mapped. Other sites will be identified on a case-by-case basis.”</w:t>
      </w:r>
    </w:p>
    <w:p w14:paraId="6B2FAF69" w14:textId="25C1F9BD" w:rsidR="00961AD4" w:rsidRPr="001765F2" w:rsidRDefault="000B4EB6" w:rsidP="00DD4108">
      <w:pPr>
        <w:pStyle w:val="ListParagraph"/>
        <w:ind w:left="567" w:hanging="567"/>
      </w:pPr>
      <w:r>
        <w:t xml:space="preserve">Transpower supports the submission to the extent </w:t>
      </w:r>
      <w:r w:rsidRPr="001765F2">
        <w:t xml:space="preserve">that the </w:t>
      </w:r>
      <w:r w:rsidR="001765F2" w:rsidRPr="001765F2">
        <w:t xml:space="preserve">purpose of the </w:t>
      </w:r>
      <w:r w:rsidRPr="001765F2">
        <w:t xml:space="preserve">relief sought </w:t>
      </w:r>
      <w:r w:rsidR="001765F2" w:rsidRPr="001765F2">
        <w:t>is</w:t>
      </w:r>
      <w:r w:rsidRPr="001765F2">
        <w:t xml:space="preserve"> to clearly define and distinguish areas of significant indigenous vegetation and significant habitats of indigenous fauna</w:t>
      </w:r>
      <w:r w:rsidR="001765F2" w:rsidRPr="001765F2">
        <w:t xml:space="preserve"> in a manner that assists in the implementation of the NESETA.</w:t>
      </w:r>
    </w:p>
    <w:p w14:paraId="352C96A1" w14:textId="19FC8482" w:rsidR="00DD4108" w:rsidRPr="001765F2" w:rsidRDefault="00CC28F0" w:rsidP="00DD4108">
      <w:pPr>
        <w:pStyle w:val="ListParagraph"/>
        <w:ind w:left="567" w:hanging="567"/>
      </w:pPr>
      <w:r w:rsidRPr="001765F2">
        <w:t xml:space="preserve">The Section 42A Report does not </w:t>
      </w:r>
      <w:r w:rsidR="001765F2" w:rsidRPr="001765F2">
        <w:t>support the inclusion of this new definition and concludes:</w:t>
      </w:r>
    </w:p>
    <w:p w14:paraId="6A194C29" w14:textId="3FC8057A" w:rsidR="00CC28F0" w:rsidRPr="00AE0D29" w:rsidRDefault="001765F2" w:rsidP="00CC28F0">
      <w:pPr>
        <w:pStyle w:val="ListParagraph"/>
        <w:numPr>
          <w:ilvl w:val="0"/>
          <w:numId w:val="0"/>
        </w:numPr>
        <w:ind w:left="567"/>
        <w:rPr>
          <w:i/>
          <w:iCs/>
        </w:rPr>
      </w:pPr>
      <w:r w:rsidRPr="001765F2">
        <w:rPr>
          <w:i/>
          <w:iCs/>
        </w:rPr>
        <w:t>“…</w:t>
      </w:r>
      <w:r w:rsidR="00CC28F0" w:rsidRPr="001765F2">
        <w:rPr>
          <w:i/>
          <w:iCs/>
        </w:rPr>
        <w:t xml:space="preserve"> my view is that the purpose of a definition is to provide clarity about what provisions relying </w:t>
      </w:r>
      <w:r w:rsidR="00CC28F0" w:rsidRPr="00AE0D29">
        <w:rPr>
          <w:i/>
          <w:iCs/>
        </w:rPr>
        <w:t>on that definition apply to. The definition of SONS is not required in order to apply the provisions within the MDP that relates to SONS. Further I do not consider it appropriate for a definition to include direction.”</w:t>
      </w:r>
      <w:r w:rsidRPr="00AE0D29">
        <w:rPr>
          <w:rStyle w:val="FootnoteReference"/>
          <w:i/>
          <w:iCs/>
        </w:rPr>
        <w:footnoteReference w:id="15"/>
      </w:r>
    </w:p>
    <w:p w14:paraId="27B2432F" w14:textId="03A2A905" w:rsidR="00AE0D29" w:rsidRDefault="00B35857" w:rsidP="001765F2">
      <w:pPr>
        <w:pStyle w:val="ListParagraph"/>
        <w:ind w:left="567" w:hanging="567"/>
      </w:pPr>
      <w:r w:rsidRPr="00AE0D29">
        <w:t xml:space="preserve">I agree with the conclusion reached in the Section 42A Report and acknowledge that the definition is not necessary to support the implementation of the provisions of the District Plan. Similarly, I am of the view that the penultimate sentence in the proposed new definition introduces uncertainty in terms of what a SONS is and therefore how reliant provisions might apply. </w:t>
      </w:r>
    </w:p>
    <w:p w14:paraId="123AC4F7" w14:textId="447B016F" w:rsidR="00AE0D29" w:rsidRPr="00AE0D29" w:rsidRDefault="00AE0D29" w:rsidP="001765F2">
      <w:pPr>
        <w:pStyle w:val="ListParagraph"/>
        <w:ind w:left="567" w:hanging="567"/>
      </w:pPr>
      <w:r>
        <w:t>In terms of the implementation of the NESETA, the NESETA regulates activities in natural areas. A ‘natural area’ is defined by the NESETA as “</w:t>
      </w:r>
      <w:r w:rsidRPr="00AE0D29">
        <w:rPr>
          <w:i/>
          <w:iCs/>
        </w:rPr>
        <w:t>an area that is protected by a rule because it has outstanding natural features or landscapes, significant indigenous vegetation, or significant habitats of indigenous fauna</w:t>
      </w:r>
      <w:r>
        <w:t xml:space="preserve">”. Efficient and effective implementation of the NESETA regulations therefore relies on the areas that are protected by rules because of certain values being easily identified. In my opinion, the </w:t>
      </w:r>
      <w:r w:rsidR="005B18E2">
        <w:t>relief sought by EDS, as drafted, does not enhance the ease with which natural areas are identified and therefore I do not consider that the new definition is necessary to support the implementation of the NESETA regulations.</w:t>
      </w:r>
    </w:p>
    <w:p w14:paraId="4CC192FC" w14:textId="77777777" w:rsidR="00CC28F0" w:rsidRPr="00DD4108" w:rsidRDefault="00CC28F0" w:rsidP="00CC28F0">
      <w:pPr>
        <w:pStyle w:val="ListParagraph"/>
        <w:numPr>
          <w:ilvl w:val="0"/>
          <w:numId w:val="0"/>
        </w:numPr>
        <w:ind w:left="567"/>
      </w:pPr>
    </w:p>
    <w:p w14:paraId="4C807027" w14:textId="29BD848F" w:rsidR="00C25ACF" w:rsidRPr="003B0DD7" w:rsidRDefault="00C25ACF" w:rsidP="00C25ACF">
      <w:pPr>
        <w:pStyle w:val="Heading2"/>
        <w:numPr>
          <w:ilvl w:val="0"/>
          <w:numId w:val="0"/>
        </w:numPr>
        <w:spacing w:after="0"/>
        <w:rPr>
          <w:rFonts w:eastAsia="Calibri"/>
          <w:szCs w:val="22"/>
        </w:rPr>
      </w:pPr>
      <w:r w:rsidRPr="003B0DD7">
        <w:rPr>
          <w:rFonts w:eastAsia="Calibri"/>
          <w:noProof/>
          <w:szCs w:val="22"/>
        </w:rPr>
        <w:drawing>
          <wp:inline distT="0" distB="0" distL="0" distR="0" wp14:anchorId="669318B8" wp14:editId="2082BA93">
            <wp:extent cx="1244600" cy="7823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ctronic Signa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7999" cy="790800"/>
                    </a:xfrm>
                    <a:prstGeom prst="rect">
                      <a:avLst/>
                    </a:prstGeom>
                  </pic:spPr>
                </pic:pic>
              </a:graphicData>
            </a:graphic>
          </wp:inline>
        </w:drawing>
      </w:r>
    </w:p>
    <w:p w14:paraId="6208F0EC" w14:textId="10BA01FD" w:rsidR="00200189" w:rsidRDefault="00AA6B48" w:rsidP="00BA3953">
      <w:pPr>
        <w:pStyle w:val="Heading2"/>
        <w:numPr>
          <w:ilvl w:val="0"/>
          <w:numId w:val="0"/>
        </w:numPr>
        <w:rPr>
          <w:rFonts w:eastAsia="Calibri"/>
          <w:szCs w:val="22"/>
        </w:rPr>
      </w:pPr>
      <w:r w:rsidRPr="003B0DD7">
        <w:rPr>
          <w:rFonts w:eastAsia="Calibri"/>
          <w:szCs w:val="22"/>
        </w:rPr>
        <w:t>Ainsley Jean McLeod</w:t>
      </w:r>
      <w:r w:rsidR="008F108D" w:rsidRPr="003B0DD7">
        <w:rPr>
          <w:rFonts w:eastAsia="Calibri"/>
          <w:szCs w:val="22"/>
        </w:rPr>
        <w:br/>
      </w:r>
      <w:r w:rsidR="008B1FA2">
        <w:rPr>
          <w:rFonts w:eastAsia="Calibri"/>
          <w:szCs w:val="22"/>
        </w:rPr>
        <w:t>12 February 2021</w:t>
      </w:r>
    </w:p>
    <w:p w14:paraId="54AA65F9" w14:textId="77777777" w:rsidR="00465BA5" w:rsidRDefault="00465BA5" w:rsidP="00BA3953">
      <w:pPr>
        <w:pStyle w:val="Heading2"/>
        <w:numPr>
          <w:ilvl w:val="0"/>
          <w:numId w:val="0"/>
        </w:numPr>
        <w:rPr>
          <w:rFonts w:eastAsia="Calibri"/>
          <w:szCs w:val="22"/>
        </w:rPr>
        <w:sectPr w:rsidR="00465BA5" w:rsidSect="006359FD">
          <w:footerReference w:type="default" r:id="rId15"/>
          <w:pgSz w:w="11907" w:h="16840" w:code="9"/>
          <w:pgMar w:top="1418" w:right="1417" w:bottom="1702" w:left="1560" w:header="720" w:footer="660" w:gutter="0"/>
          <w:paperSrc w:first="15" w:other="15"/>
          <w:pgNumType w:start="1"/>
          <w:cols w:space="720"/>
          <w:docGrid w:linePitch="299"/>
        </w:sectPr>
      </w:pPr>
    </w:p>
    <w:p w14:paraId="5A41CCB6" w14:textId="184BC63F" w:rsidR="00793E6B" w:rsidRDefault="00465BA5" w:rsidP="00BA3953">
      <w:pPr>
        <w:pStyle w:val="Heading2"/>
        <w:numPr>
          <w:ilvl w:val="0"/>
          <w:numId w:val="0"/>
        </w:numPr>
        <w:rPr>
          <w:rFonts w:eastAsia="Calibri"/>
          <w:b/>
          <w:bCs/>
          <w:szCs w:val="22"/>
        </w:rPr>
      </w:pPr>
      <w:r>
        <w:rPr>
          <w:rFonts w:eastAsia="Calibri"/>
          <w:b/>
          <w:bCs/>
          <w:szCs w:val="22"/>
        </w:rPr>
        <w:t xml:space="preserve">Attachment </w:t>
      </w:r>
      <w:r w:rsidR="00E35F67">
        <w:rPr>
          <w:rFonts w:eastAsia="Calibri"/>
          <w:b/>
          <w:bCs/>
          <w:szCs w:val="22"/>
        </w:rPr>
        <w:t>1</w:t>
      </w:r>
      <w:r>
        <w:rPr>
          <w:rFonts w:eastAsia="Calibri"/>
          <w:b/>
          <w:bCs/>
          <w:szCs w:val="22"/>
        </w:rPr>
        <w:t xml:space="preserve">: </w:t>
      </w:r>
      <w:r w:rsidR="00E322CF">
        <w:rPr>
          <w:rFonts w:eastAsia="Calibri"/>
          <w:b/>
          <w:bCs/>
          <w:szCs w:val="22"/>
        </w:rPr>
        <w:t>National Grid Assets in Mackenzie District</w:t>
      </w:r>
    </w:p>
    <w:p w14:paraId="212307A3" w14:textId="2DA20D29" w:rsidR="00793E6B" w:rsidRDefault="00E322CF" w:rsidP="00240F1E">
      <w:pPr>
        <w:pStyle w:val="Heading2"/>
        <w:numPr>
          <w:ilvl w:val="0"/>
          <w:numId w:val="0"/>
        </w:numPr>
        <w:jc w:val="center"/>
        <w:rPr>
          <w:rFonts w:eastAsia="Calibri"/>
          <w:sz w:val="20"/>
          <w:highlight w:val="yellow"/>
        </w:rPr>
      </w:pPr>
      <w:r>
        <w:rPr>
          <w:noProof/>
        </w:rPr>
        <w:drawing>
          <wp:inline distT="0" distB="0" distL="0" distR="0" wp14:anchorId="6CE30AC9" wp14:editId="36500E5C">
            <wp:extent cx="5867317" cy="82994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kenzie_District map_001.jpg"/>
                    <pic:cNvPicPr/>
                  </pic:nvPicPr>
                  <pic:blipFill>
                    <a:blip r:embed="rId16">
                      <a:extLst>
                        <a:ext uri="{28A0092B-C50C-407E-A947-70E740481C1C}">
                          <a14:useLocalDpi xmlns:a14="http://schemas.microsoft.com/office/drawing/2010/main" val="0"/>
                        </a:ext>
                      </a:extLst>
                    </a:blip>
                    <a:stretch>
                      <a:fillRect/>
                    </a:stretch>
                  </pic:blipFill>
                  <pic:spPr>
                    <a:xfrm>
                      <a:off x="0" y="0"/>
                      <a:ext cx="5874482" cy="8309585"/>
                    </a:xfrm>
                    <a:prstGeom prst="rect">
                      <a:avLst/>
                    </a:prstGeom>
                  </pic:spPr>
                </pic:pic>
              </a:graphicData>
            </a:graphic>
          </wp:inline>
        </w:drawing>
      </w:r>
    </w:p>
    <w:sectPr w:rsidR="00793E6B" w:rsidSect="009511A9">
      <w:footerReference w:type="default" r:id="rId17"/>
      <w:pgSz w:w="11907" w:h="16840" w:code="9"/>
      <w:pgMar w:top="1276" w:right="1417" w:bottom="1702" w:left="1560" w:header="720" w:footer="660" w:gutter="0"/>
      <w:paperSrc w:first="15" w:other="15"/>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01282" w14:textId="77777777" w:rsidR="00060AA6" w:rsidRDefault="00060AA6">
      <w:pPr>
        <w:spacing w:after="0" w:line="240" w:lineRule="auto"/>
      </w:pPr>
      <w:r>
        <w:separator/>
      </w:r>
    </w:p>
  </w:endnote>
  <w:endnote w:type="continuationSeparator" w:id="0">
    <w:p w14:paraId="02DCF610" w14:textId="77777777" w:rsidR="00060AA6" w:rsidRDefault="00060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27E80" w14:textId="77777777" w:rsidR="000D121E" w:rsidRDefault="000D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6E4C4" w14:textId="475D4D47" w:rsidR="008E0317" w:rsidRDefault="008E0317" w:rsidP="00484A89">
    <w:pPr>
      <w:pStyle w:val="bgSmallCapsChar"/>
    </w:pPr>
    <w:r w:rsidRPr="00A13C66">
      <w:rPr>
        <w:rStyle w:val="bgSmallCaps7Char"/>
      </w:rPr>
      <w:fldChar w:fldCharType="begin"/>
    </w:r>
    <w:r w:rsidRPr="00A13C66">
      <w:rPr>
        <w:rStyle w:val="bgSmallCaps7Char"/>
      </w:rPr>
      <w:instrText xml:space="preserve"> DocProperty bgDocumentName  \* MERGEFORMAT </w:instrText>
    </w:r>
    <w:r w:rsidRPr="00A13C66">
      <w:rPr>
        <w:rStyle w:val="bgSmallCaps7Char"/>
      </w:rPr>
      <w:fldChar w:fldCharType="separate"/>
    </w:r>
    <w:r>
      <w:rPr>
        <w:rStyle w:val="bgSmallCaps7Char"/>
      </w:rPr>
      <w:t>18910691_1</w:t>
    </w:r>
    <w:r w:rsidRPr="00A13C66">
      <w:rPr>
        <w:rStyle w:val="bgSmallCaps7Char"/>
      </w:rPr>
      <w:fldChar w:fldCharType="end"/>
    </w:r>
    <w:r w:rsidRPr="008B2185">
      <w:t xml:space="preserve"> </w:t>
    </w:r>
    <w:r w:rsidRPr="003B6245">
      <w:t xml:space="preserve">  </w:t>
    </w:r>
  </w:p>
  <w:p w14:paraId="6478D64B" w14:textId="77777777" w:rsidR="008E0317" w:rsidRPr="00AD28CB" w:rsidRDefault="008E0317" w:rsidP="00AD28CB">
    <w:pPr>
      <w:pStyle w:val="bgFooterCourt"/>
      <w:rPr>
        <w:sz w:val="22"/>
      </w:rPr>
    </w:pPr>
    <w:r w:rsidRPr="00594C29">
      <w:fldChar w:fldCharType="begin"/>
    </w:r>
    <w:r>
      <w:instrText xml:space="preserve"> REF Name \* CHARFORMAT </w:instrText>
    </w:r>
    <w:r w:rsidRPr="00594C29">
      <w:instrText xml:space="preserve"> </w:instrText>
    </w:r>
    <w:r>
      <w:instrText xml:space="preserve"> \* MERGEFORMAT </w:instrText>
    </w:r>
    <w:r w:rsidRPr="00594C29">
      <w:fldChar w:fldCharType="separate"/>
    </w:r>
    <w:r w:rsidRPr="00AD28CB">
      <w:t xml:space="preserve">Statement of Evidence of Ainsley Jean McLeod on behalf of Transpower New </w:t>
    </w:r>
    <w:r w:rsidRPr="00AD28CB">
      <w:rPr>
        <w:sz w:val="22"/>
      </w:rPr>
      <w:t>Zealand Limited (submitter ref: 3080)</w:t>
    </w:r>
  </w:p>
  <w:p w14:paraId="45A0EF4F" w14:textId="4AED0995" w:rsidR="008E0317" w:rsidRPr="002C2599" w:rsidRDefault="008E0317" w:rsidP="00725707">
    <w:pPr>
      <w:pStyle w:val="bgFooterCourt"/>
    </w:pPr>
    <w:r w:rsidRPr="00AD28CB">
      <w:rPr>
        <w:sz w:val="22"/>
      </w:rPr>
      <w:t xml:space="preserve">dated </w:t>
    </w:r>
    <w:r w:rsidRPr="00594C2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64077" w14:textId="77777777" w:rsidR="000D121E" w:rsidRDefault="000D12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9544727"/>
      <w:docPartObj>
        <w:docPartGallery w:val="Page Numbers (Bottom of Page)"/>
        <w:docPartUnique/>
      </w:docPartObj>
    </w:sdtPr>
    <w:sdtEndPr>
      <w:rPr>
        <w:sz w:val="16"/>
        <w:szCs w:val="16"/>
      </w:rPr>
    </w:sdtEndPr>
    <w:sdtContent>
      <w:p w14:paraId="4DE953AC" w14:textId="0E54F899" w:rsidR="008E0317" w:rsidRPr="009511A9" w:rsidRDefault="008E0317">
        <w:pPr>
          <w:pStyle w:val="Footer"/>
          <w:jc w:val="right"/>
          <w:rPr>
            <w:sz w:val="16"/>
            <w:szCs w:val="16"/>
          </w:rPr>
        </w:pPr>
        <w:r w:rsidRPr="009511A9">
          <w:rPr>
            <w:sz w:val="16"/>
            <w:szCs w:val="16"/>
          </w:rPr>
          <w:t xml:space="preserve">Page | </w:t>
        </w:r>
        <w:r w:rsidRPr="009511A9">
          <w:rPr>
            <w:sz w:val="16"/>
            <w:szCs w:val="16"/>
          </w:rPr>
          <w:fldChar w:fldCharType="begin"/>
        </w:r>
        <w:r w:rsidRPr="009511A9">
          <w:rPr>
            <w:sz w:val="16"/>
            <w:szCs w:val="16"/>
          </w:rPr>
          <w:instrText xml:space="preserve"> PAGE   \* MERGEFORMAT </w:instrText>
        </w:r>
        <w:r w:rsidRPr="009511A9">
          <w:rPr>
            <w:sz w:val="16"/>
            <w:szCs w:val="16"/>
          </w:rPr>
          <w:fldChar w:fldCharType="separate"/>
        </w:r>
        <w:r w:rsidRPr="009511A9">
          <w:rPr>
            <w:noProof/>
            <w:sz w:val="16"/>
            <w:szCs w:val="16"/>
          </w:rPr>
          <w:t>2</w:t>
        </w:r>
        <w:r w:rsidRPr="009511A9">
          <w:rPr>
            <w:noProof/>
            <w:sz w:val="16"/>
            <w:szCs w:val="16"/>
          </w:rPr>
          <w:fldChar w:fldCharType="end"/>
        </w:r>
        <w:r w:rsidRPr="009511A9">
          <w:rPr>
            <w:sz w:val="16"/>
            <w:szCs w:val="16"/>
          </w:rPr>
          <w:t xml:space="preserve"> </w:t>
        </w:r>
      </w:p>
    </w:sdtContent>
  </w:sdt>
  <w:p w14:paraId="43690054" w14:textId="77777777" w:rsidR="008E0317" w:rsidRPr="00413732" w:rsidRDefault="008E0317" w:rsidP="00B60486">
    <w:pPr>
      <w:pStyle w:val="bgSmallCapsCha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F7249" w14:textId="5CA2B72A" w:rsidR="008E0317" w:rsidRPr="009511A9" w:rsidRDefault="008E0317">
    <w:pPr>
      <w:pStyle w:val="Footer"/>
      <w:jc w:val="right"/>
      <w:rPr>
        <w:sz w:val="16"/>
        <w:szCs w:val="16"/>
      </w:rPr>
    </w:pPr>
  </w:p>
  <w:p w14:paraId="39E01304" w14:textId="77777777" w:rsidR="008E0317" w:rsidRPr="00413732" w:rsidRDefault="008E0317" w:rsidP="00B60486">
    <w:pPr>
      <w:pStyle w:val="bgSmallCapsCha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90EFD" w14:textId="77777777" w:rsidR="00060AA6" w:rsidRDefault="00060AA6">
      <w:pPr>
        <w:spacing w:after="0" w:line="240" w:lineRule="auto"/>
      </w:pPr>
      <w:r>
        <w:separator/>
      </w:r>
    </w:p>
  </w:footnote>
  <w:footnote w:type="continuationSeparator" w:id="0">
    <w:p w14:paraId="36A7886A" w14:textId="77777777" w:rsidR="00060AA6" w:rsidRDefault="00060AA6" w:rsidP="009E1D4E">
      <w:pPr>
        <w:spacing w:after="0" w:line="240" w:lineRule="auto"/>
      </w:pPr>
      <w:r>
        <w:separator/>
      </w:r>
    </w:p>
  </w:footnote>
  <w:footnote w:id="1">
    <w:p w14:paraId="70F1D695" w14:textId="77777777" w:rsidR="008E0317" w:rsidRPr="003B3522" w:rsidRDefault="008E0317" w:rsidP="00E511D4">
      <w:pPr>
        <w:pStyle w:val="FootnoteText"/>
        <w:spacing w:after="60" w:line="240" w:lineRule="atLeast"/>
        <w:rPr>
          <w:i/>
          <w:sz w:val="16"/>
          <w:szCs w:val="16"/>
        </w:rPr>
      </w:pPr>
      <w:r w:rsidRPr="003B3522">
        <w:rPr>
          <w:rStyle w:val="FootnoteReference"/>
          <w:sz w:val="16"/>
          <w:szCs w:val="16"/>
        </w:rPr>
        <w:footnoteRef/>
      </w:r>
      <w:r w:rsidRPr="003B3522">
        <w:rPr>
          <w:sz w:val="16"/>
          <w:szCs w:val="16"/>
        </w:rPr>
        <w:t xml:space="preserve"> </w:t>
      </w:r>
      <w:r w:rsidRPr="003B3522">
        <w:rPr>
          <w:i/>
          <w:sz w:val="16"/>
          <w:szCs w:val="16"/>
        </w:rPr>
        <w:t>Long Bay – Okura Great Park Society v North Shore City Council</w:t>
      </w:r>
      <w:r w:rsidRPr="003B3522">
        <w:rPr>
          <w:sz w:val="16"/>
          <w:szCs w:val="16"/>
        </w:rPr>
        <w:t xml:space="preserve"> EnvC A078/2008, 16 July 2008, at [34], </w:t>
      </w:r>
      <w:r w:rsidRPr="003B3522">
        <w:rPr>
          <w:i/>
          <w:sz w:val="16"/>
          <w:szCs w:val="16"/>
        </w:rPr>
        <w:t>High Country Rosehip Orchards Ltd v Mackenzie District Council</w:t>
      </w:r>
      <w:r w:rsidRPr="003B3522">
        <w:rPr>
          <w:sz w:val="16"/>
          <w:szCs w:val="16"/>
        </w:rPr>
        <w:t xml:space="preserve"> [2011] NZEnvC 387 and </w:t>
      </w:r>
      <w:r w:rsidRPr="003B3522">
        <w:rPr>
          <w:i/>
          <w:sz w:val="16"/>
          <w:szCs w:val="16"/>
        </w:rPr>
        <w:t>Colonial Vineyard v Marlborough District Council</w:t>
      </w:r>
      <w:r w:rsidRPr="003B3522">
        <w:rPr>
          <w:sz w:val="16"/>
          <w:szCs w:val="16"/>
        </w:rPr>
        <w:t xml:space="preserve"> [2014] NZEnvC 55.</w:t>
      </w:r>
    </w:p>
  </w:footnote>
  <w:footnote w:id="2">
    <w:p w14:paraId="163F5E87" w14:textId="076B815C" w:rsidR="008E0317" w:rsidRPr="003B3522" w:rsidRDefault="008E0317" w:rsidP="0038135F">
      <w:pPr>
        <w:autoSpaceDE w:val="0"/>
        <w:autoSpaceDN w:val="0"/>
        <w:adjustRightInd w:val="0"/>
        <w:spacing w:after="60" w:line="240" w:lineRule="atLeast"/>
        <w:rPr>
          <w:sz w:val="16"/>
          <w:szCs w:val="16"/>
          <w:lang w:val="en-US"/>
        </w:rPr>
      </w:pPr>
      <w:r w:rsidRPr="003B3522">
        <w:rPr>
          <w:rStyle w:val="FootnoteReference"/>
          <w:sz w:val="16"/>
          <w:szCs w:val="16"/>
        </w:rPr>
        <w:footnoteRef/>
      </w:r>
      <w:r w:rsidRPr="003B3522">
        <w:rPr>
          <w:sz w:val="16"/>
          <w:szCs w:val="16"/>
        </w:rPr>
        <w:t xml:space="preserve"> </w:t>
      </w:r>
      <w:r w:rsidRPr="003B3522">
        <w:rPr>
          <w:i/>
          <w:iCs/>
          <w:sz w:val="16"/>
          <w:szCs w:val="16"/>
        </w:rPr>
        <w:t xml:space="preserve">Environmental Defence Society Incorporated </w:t>
      </w:r>
      <w:r w:rsidRPr="003B3522">
        <w:rPr>
          <w:sz w:val="16"/>
          <w:szCs w:val="16"/>
        </w:rPr>
        <w:t>v</w:t>
      </w:r>
      <w:r w:rsidRPr="003B3522">
        <w:rPr>
          <w:i/>
          <w:iCs/>
          <w:sz w:val="16"/>
          <w:szCs w:val="16"/>
        </w:rPr>
        <w:t xml:space="preserve"> The New Zealand King Salmon Company Limited</w:t>
      </w:r>
      <w:r w:rsidRPr="003B3522">
        <w:rPr>
          <w:sz w:val="16"/>
          <w:szCs w:val="16"/>
        </w:rPr>
        <w:t>, NZSC 38, 17 April.</w:t>
      </w:r>
    </w:p>
  </w:footnote>
  <w:footnote w:id="3">
    <w:p w14:paraId="0CF3AE9A" w14:textId="6CA1E013" w:rsidR="008E0317" w:rsidRPr="00917A1E" w:rsidRDefault="008E0317" w:rsidP="00917A1E">
      <w:pPr>
        <w:pStyle w:val="FootnoteText"/>
        <w:spacing w:after="60" w:line="240" w:lineRule="atLeast"/>
        <w:rPr>
          <w:rFonts w:ascii="Arial Narrow" w:hAnsi="Arial Narrow"/>
          <w:sz w:val="16"/>
          <w:szCs w:val="16"/>
          <w:lang w:val="en-US"/>
        </w:rPr>
      </w:pPr>
      <w:r w:rsidRPr="003B3522">
        <w:rPr>
          <w:rStyle w:val="FootnoteReference"/>
          <w:sz w:val="16"/>
          <w:szCs w:val="16"/>
        </w:rPr>
        <w:footnoteRef/>
      </w:r>
      <w:r w:rsidRPr="003B3522">
        <w:rPr>
          <w:sz w:val="16"/>
          <w:szCs w:val="16"/>
        </w:rPr>
        <w:t xml:space="preserve"> It is acknowledged that the Preamble is not part of the NPSET but includes the words: “</w:t>
      </w:r>
      <w:r w:rsidRPr="003B3522">
        <w:rPr>
          <w:i/>
          <w:iCs/>
          <w:sz w:val="16"/>
          <w:szCs w:val="16"/>
        </w:rPr>
        <w:t>this preamble may assist interpretation of the national policy statement, where this is necessary to resolve uncertainty</w:t>
      </w:r>
      <w:r w:rsidRPr="003B3522">
        <w:rPr>
          <w:sz w:val="16"/>
          <w:szCs w:val="16"/>
        </w:rPr>
        <w:t>”.</w:t>
      </w:r>
    </w:p>
  </w:footnote>
  <w:footnote w:id="4">
    <w:p w14:paraId="09BA8D2F" w14:textId="77777777" w:rsidR="008E0317" w:rsidRPr="00FA6489" w:rsidRDefault="008E0317" w:rsidP="0038135F">
      <w:pPr>
        <w:pStyle w:val="FootnoteText"/>
        <w:spacing w:after="60" w:line="260" w:lineRule="atLeast"/>
        <w:rPr>
          <w:sz w:val="16"/>
          <w:szCs w:val="16"/>
          <w:lang w:val="en-US"/>
        </w:rPr>
      </w:pPr>
      <w:r w:rsidRPr="00FA6489">
        <w:rPr>
          <w:rStyle w:val="FootnoteReference"/>
          <w:sz w:val="16"/>
          <w:szCs w:val="16"/>
        </w:rPr>
        <w:footnoteRef/>
      </w:r>
      <w:r w:rsidRPr="00FA6489">
        <w:rPr>
          <w:sz w:val="16"/>
          <w:szCs w:val="16"/>
        </w:rPr>
        <w:t xml:space="preserve"> Sections 43B and 44A of the RMA. Section 43B(3) states that “</w:t>
      </w:r>
      <w:r w:rsidRPr="00FA6489">
        <w:rPr>
          <w:i/>
          <w:iCs/>
          <w:sz w:val="16"/>
          <w:szCs w:val="16"/>
        </w:rPr>
        <w:t>a rule may not be more lenient than a national environmental standard (NES)</w:t>
      </w:r>
      <w:r w:rsidRPr="00FA6489">
        <w:rPr>
          <w:sz w:val="16"/>
          <w:szCs w:val="16"/>
        </w:rPr>
        <w:t>” and section 43B(1) states that “</w:t>
      </w:r>
      <w:r w:rsidRPr="00FA6489">
        <w:rPr>
          <w:i/>
          <w:iCs/>
          <w:sz w:val="16"/>
          <w:szCs w:val="16"/>
        </w:rPr>
        <w:t>a rule or resource consent that is more stringent that a national environmental standard prevails over the standard, if the standard expressly says that a rule or consent may be more stringent than it</w:t>
      </w:r>
      <w:r w:rsidRPr="00FA6489">
        <w:rPr>
          <w:sz w:val="16"/>
          <w:szCs w:val="16"/>
        </w:rPr>
        <w:t>.”</w:t>
      </w:r>
    </w:p>
  </w:footnote>
  <w:footnote w:id="5">
    <w:p w14:paraId="761740DC" w14:textId="5C464CB2" w:rsidR="008E0317" w:rsidRPr="0038135F" w:rsidRDefault="008E0317" w:rsidP="003D2AEC">
      <w:pPr>
        <w:pStyle w:val="FootnoteText"/>
        <w:spacing w:after="60" w:line="260" w:lineRule="atLeast"/>
        <w:rPr>
          <w:sz w:val="16"/>
          <w:szCs w:val="16"/>
          <w:lang w:val="en-US"/>
        </w:rPr>
      </w:pPr>
      <w:r w:rsidRPr="0038135F">
        <w:rPr>
          <w:rStyle w:val="FootnoteReference"/>
          <w:sz w:val="16"/>
          <w:szCs w:val="16"/>
        </w:rPr>
        <w:footnoteRef/>
      </w:r>
      <w:r w:rsidRPr="0038135F">
        <w:rPr>
          <w:sz w:val="16"/>
          <w:szCs w:val="16"/>
        </w:rPr>
        <w:t xml:space="preserve"> </w:t>
      </w:r>
      <w:r w:rsidRPr="0038135F">
        <w:rPr>
          <w:sz w:val="16"/>
          <w:szCs w:val="16"/>
          <w:lang w:val="en-US"/>
        </w:rPr>
        <w:t>at Paragraphs 40 to 47.</w:t>
      </w:r>
    </w:p>
  </w:footnote>
  <w:footnote w:id="6">
    <w:p w14:paraId="6A6AF03A" w14:textId="0BCCE46E" w:rsidR="008E0317" w:rsidRPr="00596D99" w:rsidRDefault="008E0317" w:rsidP="003D2AEC">
      <w:pPr>
        <w:pStyle w:val="FootnoteText"/>
        <w:spacing w:after="60" w:line="260" w:lineRule="atLeast"/>
        <w:rPr>
          <w:lang w:val="en-US"/>
        </w:rPr>
      </w:pPr>
      <w:r w:rsidRPr="0038135F">
        <w:rPr>
          <w:rStyle w:val="FootnoteReference"/>
          <w:sz w:val="16"/>
          <w:szCs w:val="16"/>
        </w:rPr>
        <w:footnoteRef/>
      </w:r>
      <w:r w:rsidRPr="0038135F">
        <w:rPr>
          <w:sz w:val="16"/>
          <w:szCs w:val="16"/>
        </w:rPr>
        <w:t xml:space="preserve"> at </w:t>
      </w:r>
      <w:r w:rsidRPr="0038135F">
        <w:rPr>
          <w:sz w:val="16"/>
          <w:szCs w:val="16"/>
          <w:lang w:val="en-US"/>
        </w:rPr>
        <w:t>Paragraph 272.</w:t>
      </w:r>
    </w:p>
  </w:footnote>
  <w:footnote w:id="7">
    <w:p w14:paraId="28973712" w14:textId="54560401" w:rsidR="008E0317" w:rsidRPr="0038135F" w:rsidRDefault="008E0317" w:rsidP="0038135F">
      <w:pPr>
        <w:pStyle w:val="FootnoteText"/>
        <w:spacing w:after="60" w:line="260" w:lineRule="atLeast"/>
        <w:rPr>
          <w:sz w:val="16"/>
          <w:szCs w:val="16"/>
          <w:lang w:val="en-US"/>
        </w:rPr>
      </w:pPr>
      <w:r w:rsidRPr="0038135F">
        <w:rPr>
          <w:rStyle w:val="FootnoteReference"/>
          <w:sz w:val="16"/>
          <w:szCs w:val="16"/>
        </w:rPr>
        <w:footnoteRef/>
      </w:r>
      <w:r w:rsidRPr="0038135F">
        <w:rPr>
          <w:sz w:val="16"/>
          <w:szCs w:val="16"/>
        </w:rPr>
        <w:t xml:space="preserve"> </w:t>
      </w:r>
      <w:r w:rsidRPr="0038135F">
        <w:rPr>
          <w:sz w:val="16"/>
          <w:szCs w:val="16"/>
          <w:lang w:val="en-US"/>
        </w:rPr>
        <w:t>at Paragraph 184.</w:t>
      </w:r>
    </w:p>
  </w:footnote>
  <w:footnote w:id="8">
    <w:p w14:paraId="0060E0BA" w14:textId="652524E1" w:rsidR="008E0317" w:rsidRPr="003D2AEC" w:rsidRDefault="008E0317" w:rsidP="003D2AEC">
      <w:pPr>
        <w:pStyle w:val="FootnoteText"/>
        <w:spacing w:after="60" w:line="260" w:lineRule="atLeast"/>
        <w:rPr>
          <w:sz w:val="16"/>
          <w:szCs w:val="16"/>
          <w:lang w:val="en-US"/>
        </w:rPr>
      </w:pPr>
      <w:r w:rsidRPr="003D2AEC">
        <w:rPr>
          <w:rStyle w:val="FootnoteReference"/>
          <w:sz w:val="16"/>
          <w:szCs w:val="16"/>
        </w:rPr>
        <w:footnoteRef/>
      </w:r>
      <w:r w:rsidRPr="003D2AEC">
        <w:rPr>
          <w:sz w:val="16"/>
          <w:szCs w:val="16"/>
        </w:rPr>
        <w:t xml:space="preserve"> </w:t>
      </w:r>
      <w:r w:rsidRPr="003D2AEC">
        <w:rPr>
          <w:sz w:val="16"/>
          <w:szCs w:val="16"/>
          <w:lang w:val="en-US"/>
        </w:rPr>
        <w:t>at Paragraph 200.</w:t>
      </w:r>
    </w:p>
  </w:footnote>
  <w:footnote w:id="9">
    <w:p w14:paraId="61057985" w14:textId="0DB31809" w:rsidR="008E0317" w:rsidRPr="00E35AAA" w:rsidRDefault="008E0317" w:rsidP="00E35AAA">
      <w:pPr>
        <w:pStyle w:val="FootnoteText"/>
        <w:spacing w:after="60" w:line="260" w:lineRule="atLeast"/>
        <w:rPr>
          <w:sz w:val="16"/>
          <w:szCs w:val="16"/>
          <w:lang w:val="en-US"/>
        </w:rPr>
      </w:pPr>
      <w:r w:rsidRPr="00E35AAA">
        <w:rPr>
          <w:rStyle w:val="FootnoteReference"/>
          <w:sz w:val="16"/>
          <w:szCs w:val="16"/>
        </w:rPr>
        <w:footnoteRef/>
      </w:r>
      <w:r w:rsidRPr="00E35AAA">
        <w:rPr>
          <w:sz w:val="16"/>
          <w:szCs w:val="16"/>
        </w:rPr>
        <w:t xml:space="preserve"> </w:t>
      </w:r>
      <w:r w:rsidRPr="00E35AAA">
        <w:rPr>
          <w:sz w:val="16"/>
          <w:szCs w:val="16"/>
          <w:lang w:val="en-US"/>
        </w:rPr>
        <w:t>at Paragraphs 280 and 324.</w:t>
      </w:r>
    </w:p>
  </w:footnote>
  <w:footnote w:id="10">
    <w:p w14:paraId="7DEB9BA4" w14:textId="2F7545F3" w:rsidR="008E0317" w:rsidRPr="00CD775A" w:rsidRDefault="008E0317" w:rsidP="00CD775A">
      <w:pPr>
        <w:pStyle w:val="FootnoteText"/>
        <w:spacing w:after="60"/>
        <w:rPr>
          <w:sz w:val="16"/>
          <w:szCs w:val="16"/>
          <w:lang w:val="en-US"/>
        </w:rPr>
      </w:pPr>
      <w:r w:rsidRPr="00CD775A">
        <w:rPr>
          <w:rStyle w:val="FootnoteReference"/>
          <w:sz w:val="16"/>
          <w:szCs w:val="16"/>
        </w:rPr>
        <w:footnoteRef/>
      </w:r>
      <w:r w:rsidRPr="00CD775A">
        <w:rPr>
          <w:sz w:val="16"/>
          <w:szCs w:val="16"/>
        </w:rPr>
        <w:t xml:space="preserve"> </w:t>
      </w:r>
      <w:r w:rsidRPr="00CD775A">
        <w:rPr>
          <w:sz w:val="16"/>
          <w:szCs w:val="16"/>
          <w:lang w:val="en-US"/>
        </w:rPr>
        <w:t>at Paragraph 323.</w:t>
      </w:r>
    </w:p>
  </w:footnote>
  <w:footnote w:id="11">
    <w:p w14:paraId="104340E7" w14:textId="1784B6DE" w:rsidR="00AB0772" w:rsidRPr="009A267B" w:rsidRDefault="00AB0772" w:rsidP="009A267B">
      <w:pPr>
        <w:pStyle w:val="FootnoteText"/>
        <w:spacing w:after="60" w:line="260" w:lineRule="atLeast"/>
        <w:rPr>
          <w:sz w:val="16"/>
          <w:szCs w:val="16"/>
          <w:lang w:val="en-US"/>
        </w:rPr>
      </w:pPr>
      <w:r w:rsidRPr="009A267B">
        <w:rPr>
          <w:rStyle w:val="FootnoteReference"/>
          <w:sz w:val="16"/>
          <w:szCs w:val="16"/>
        </w:rPr>
        <w:footnoteRef/>
      </w:r>
      <w:r w:rsidRPr="009A267B">
        <w:rPr>
          <w:sz w:val="16"/>
          <w:szCs w:val="16"/>
        </w:rPr>
        <w:t xml:space="preserve"> </w:t>
      </w:r>
      <w:r w:rsidRPr="009A267B">
        <w:rPr>
          <w:sz w:val="16"/>
          <w:szCs w:val="16"/>
          <w:lang w:val="en-US"/>
        </w:rPr>
        <w:t>at Paragraph 405.</w:t>
      </w:r>
    </w:p>
  </w:footnote>
  <w:footnote w:id="12">
    <w:p w14:paraId="682A1567" w14:textId="57B6A079" w:rsidR="009A267B" w:rsidRPr="009A267B" w:rsidRDefault="009A267B" w:rsidP="009A267B">
      <w:pPr>
        <w:pStyle w:val="FootnoteText"/>
        <w:spacing w:after="60" w:line="260" w:lineRule="atLeast"/>
        <w:rPr>
          <w:lang w:val="en-US"/>
        </w:rPr>
      </w:pPr>
      <w:r w:rsidRPr="009A267B">
        <w:rPr>
          <w:rStyle w:val="FootnoteReference"/>
          <w:sz w:val="16"/>
          <w:szCs w:val="16"/>
        </w:rPr>
        <w:footnoteRef/>
      </w:r>
      <w:r w:rsidRPr="009A267B">
        <w:rPr>
          <w:sz w:val="16"/>
          <w:szCs w:val="16"/>
        </w:rPr>
        <w:t xml:space="preserve"> In this regard, the rule package is understood to be implementing other policies, such that a new policy to direct those activities that are permitted is not necessary.</w:t>
      </w:r>
    </w:p>
  </w:footnote>
  <w:footnote w:id="13">
    <w:p w14:paraId="42379F88" w14:textId="3A83BC49" w:rsidR="00C67E0B" w:rsidRPr="00C67E0B" w:rsidRDefault="00C67E0B" w:rsidP="00C67E0B">
      <w:pPr>
        <w:pStyle w:val="FootnoteText"/>
        <w:spacing w:after="60" w:line="260" w:lineRule="atLeast"/>
        <w:rPr>
          <w:sz w:val="16"/>
          <w:szCs w:val="16"/>
          <w:lang w:val="en-US"/>
        </w:rPr>
      </w:pPr>
      <w:r w:rsidRPr="00C67E0B">
        <w:rPr>
          <w:rStyle w:val="FootnoteReference"/>
          <w:sz w:val="16"/>
          <w:szCs w:val="16"/>
        </w:rPr>
        <w:footnoteRef/>
      </w:r>
      <w:r w:rsidRPr="00C67E0B">
        <w:rPr>
          <w:sz w:val="16"/>
          <w:szCs w:val="16"/>
        </w:rPr>
        <w:t xml:space="preserve"> </w:t>
      </w:r>
      <w:r w:rsidRPr="00C67E0B">
        <w:rPr>
          <w:sz w:val="16"/>
          <w:szCs w:val="16"/>
          <w:lang w:val="en-US"/>
        </w:rPr>
        <w:t>at Paragraph 101.</w:t>
      </w:r>
    </w:p>
  </w:footnote>
  <w:footnote w:id="14">
    <w:p w14:paraId="67000588" w14:textId="6E3627AC" w:rsidR="008E0317" w:rsidRPr="0038135F" w:rsidRDefault="008E0317" w:rsidP="0038135F">
      <w:pPr>
        <w:pStyle w:val="FootnoteText"/>
        <w:spacing w:after="60" w:line="260" w:lineRule="atLeast"/>
        <w:rPr>
          <w:sz w:val="16"/>
          <w:szCs w:val="16"/>
          <w:lang w:val="en-US"/>
        </w:rPr>
      </w:pPr>
      <w:r w:rsidRPr="0038135F">
        <w:rPr>
          <w:rStyle w:val="FootnoteReference"/>
          <w:sz w:val="16"/>
          <w:szCs w:val="16"/>
        </w:rPr>
        <w:footnoteRef/>
      </w:r>
      <w:r w:rsidRPr="0038135F">
        <w:rPr>
          <w:sz w:val="16"/>
          <w:szCs w:val="16"/>
        </w:rPr>
        <w:t xml:space="preserve"> at </w:t>
      </w:r>
      <w:r w:rsidRPr="0038135F">
        <w:rPr>
          <w:sz w:val="16"/>
          <w:szCs w:val="16"/>
          <w:lang w:val="en-US"/>
        </w:rPr>
        <w:t>Paragraph 491.</w:t>
      </w:r>
    </w:p>
  </w:footnote>
  <w:footnote w:id="15">
    <w:p w14:paraId="10948056" w14:textId="4CF5C9D6" w:rsidR="008E0317" w:rsidRPr="00E64E02" w:rsidRDefault="008E0317" w:rsidP="0038135F">
      <w:pPr>
        <w:pStyle w:val="FootnoteText"/>
        <w:spacing w:after="60" w:line="260" w:lineRule="atLeast"/>
        <w:rPr>
          <w:sz w:val="16"/>
          <w:szCs w:val="16"/>
          <w:lang w:val="en-US"/>
        </w:rPr>
      </w:pPr>
      <w:r w:rsidRPr="00E64E02">
        <w:rPr>
          <w:rStyle w:val="FootnoteReference"/>
          <w:sz w:val="16"/>
          <w:szCs w:val="16"/>
        </w:rPr>
        <w:footnoteRef/>
      </w:r>
      <w:r w:rsidRPr="00E64E02">
        <w:rPr>
          <w:sz w:val="16"/>
          <w:szCs w:val="16"/>
        </w:rPr>
        <w:t xml:space="preserve"> at </w:t>
      </w:r>
      <w:r w:rsidRPr="00E64E02">
        <w:rPr>
          <w:sz w:val="16"/>
          <w:szCs w:val="16"/>
          <w:lang w:val="en-US"/>
        </w:rPr>
        <w:t>Paragraph 531.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C3BCC" w14:textId="77777777" w:rsidR="000D121E" w:rsidRDefault="000D12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AD2FF" w14:textId="77777777" w:rsidR="008E0317" w:rsidRDefault="008E0317">
    <w:pPr>
      <w:pStyle w:val="Heade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07A5A" w14:textId="77777777" w:rsidR="008E0317" w:rsidRDefault="008E0317">
    <w:pPr>
      <w:pStyle w:val="Heade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4"/>
      <w:numFmt w:val="decimal"/>
      <w:lvlText w:val="%1"/>
      <w:lvlJc w:val="left"/>
      <w:pPr>
        <w:ind w:left="984" w:hanging="567"/>
      </w:pPr>
    </w:lvl>
    <w:lvl w:ilvl="1">
      <w:start w:val="1"/>
      <w:numFmt w:val="decimal"/>
      <w:lvlText w:val="%1.%2"/>
      <w:lvlJc w:val="left"/>
      <w:pPr>
        <w:ind w:left="984" w:hanging="567"/>
      </w:pPr>
      <w:rPr>
        <w:rFonts w:ascii="Arial" w:hAnsi="Arial" w:cs="Arial"/>
        <w:b w:val="0"/>
        <w:bCs w:val="0"/>
        <w:w w:val="100"/>
        <w:sz w:val="22"/>
        <w:szCs w:val="22"/>
      </w:rPr>
    </w:lvl>
    <w:lvl w:ilvl="2">
      <w:numFmt w:val="bullet"/>
      <w:lvlText w:val="•"/>
      <w:lvlJc w:val="left"/>
      <w:pPr>
        <w:ind w:left="2544" w:hanging="567"/>
      </w:pPr>
    </w:lvl>
    <w:lvl w:ilvl="3">
      <w:numFmt w:val="bullet"/>
      <w:lvlText w:val="•"/>
      <w:lvlJc w:val="left"/>
      <w:pPr>
        <w:ind w:left="3326" w:hanging="567"/>
      </w:pPr>
    </w:lvl>
    <w:lvl w:ilvl="4">
      <w:numFmt w:val="bullet"/>
      <w:lvlText w:val="•"/>
      <w:lvlJc w:val="left"/>
      <w:pPr>
        <w:ind w:left="4108" w:hanging="567"/>
      </w:pPr>
    </w:lvl>
    <w:lvl w:ilvl="5">
      <w:numFmt w:val="bullet"/>
      <w:lvlText w:val="•"/>
      <w:lvlJc w:val="left"/>
      <w:pPr>
        <w:ind w:left="4890" w:hanging="567"/>
      </w:pPr>
    </w:lvl>
    <w:lvl w:ilvl="6">
      <w:numFmt w:val="bullet"/>
      <w:lvlText w:val="•"/>
      <w:lvlJc w:val="left"/>
      <w:pPr>
        <w:ind w:left="5672" w:hanging="567"/>
      </w:pPr>
    </w:lvl>
    <w:lvl w:ilvl="7">
      <w:numFmt w:val="bullet"/>
      <w:lvlText w:val="•"/>
      <w:lvlJc w:val="left"/>
      <w:pPr>
        <w:ind w:left="6454" w:hanging="567"/>
      </w:pPr>
    </w:lvl>
    <w:lvl w:ilvl="8">
      <w:numFmt w:val="bullet"/>
      <w:lvlText w:val="•"/>
      <w:lvlJc w:val="left"/>
      <w:pPr>
        <w:ind w:left="7236" w:hanging="567"/>
      </w:pPr>
    </w:lvl>
  </w:abstractNum>
  <w:abstractNum w:abstractNumId="1" w15:restartNumberingAfterBreak="0">
    <w:nsid w:val="049D2B4C"/>
    <w:multiLevelType w:val="multilevel"/>
    <w:tmpl w:val="AD9CD072"/>
    <w:lvl w:ilvl="0">
      <w:start w:val="1"/>
      <w:numFmt w:val="bullet"/>
      <w:pStyle w:val="Tablebullet"/>
      <w:lvlText w:val=""/>
      <w:lvlJc w:val="left"/>
      <w:pPr>
        <w:tabs>
          <w:tab w:val="num" w:pos="170"/>
        </w:tabs>
        <w:ind w:left="170" w:hanging="170"/>
      </w:pPr>
      <w:rPr>
        <w:rFonts w:ascii="Wingdings" w:hAnsi="Wingdings" w:hint="default"/>
        <w:color w:val="013799"/>
        <w:position w:val="-6"/>
        <w:sz w:val="26"/>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Wingdings" w:hAnsi="Wingdings" w:hint="default"/>
        <w:color w:val="013799"/>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83C0EEA"/>
    <w:multiLevelType w:val="multilevel"/>
    <w:tmpl w:val="6218CEB4"/>
    <w:name w:val="LitOtherList1"/>
    <w:lvl w:ilvl="0">
      <w:start w:val="1"/>
      <w:numFmt w:val="decimal"/>
      <w:lvlText w:val="%1."/>
      <w:lvlJc w:val="left"/>
      <w:pPr>
        <w:tabs>
          <w:tab w:val="num" w:pos="850"/>
        </w:tabs>
        <w:ind w:left="850" w:hanging="850"/>
      </w:pPr>
      <w:rPr>
        <w:rFonts w:ascii="Arial" w:hAnsi="Arial" w:cs="Arial"/>
        <w:b w:val="0"/>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17"/>
        </w:tabs>
        <w:ind w:left="1417" w:hanging="567"/>
      </w:pPr>
      <w:rPr>
        <w:rFonts w:ascii="Arial" w:hAnsi="Arial" w:cs="Arial"/>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984"/>
        </w:tabs>
        <w:ind w:left="1984"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C75187C"/>
    <w:multiLevelType w:val="multilevel"/>
    <w:tmpl w:val="86029B2C"/>
    <w:name w:val="LitOtherList2"/>
    <w:lvl w:ilvl="0">
      <w:start w:val="1"/>
      <w:numFmt w:val="decimal"/>
      <w:lvlText w:val="%1."/>
      <w:lvlJc w:val="left"/>
      <w:pPr>
        <w:tabs>
          <w:tab w:val="num" w:pos="850"/>
        </w:tabs>
        <w:ind w:left="850" w:hanging="850"/>
      </w:pPr>
      <w:rPr>
        <w:rFonts w:ascii="Arial" w:hAnsi="Arial" w:cs="Arial"/>
        <w:b w:val="0"/>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17"/>
        </w:tabs>
        <w:ind w:left="1417" w:hanging="567"/>
      </w:pPr>
      <w:rPr>
        <w:rFonts w:ascii="Arial" w:hAnsi="Arial" w:cs="Arial"/>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984"/>
        </w:tabs>
        <w:ind w:left="1984"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1DB2CB6"/>
    <w:multiLevelType w:val="multilevel"/>
    <w:tmpl w:val="6C9AC5DE"/>
    <w:name w:val="LitOtherList3"/>
    <w:lvl w:ilvl="0">
      <w:start w:val="1"/>
      <w:numFmt w:val="decimal"/>
      <w:lvlText w:val="%1."/>
      <w:lvlJc w:val="left"/>
      <w:pPr>
        <w:tabs>
          <w:tab w:val="num" w:pos="850"/>
        </w:tabs>
        <w:ind w:left="850" w:hanging="850"/>
      </w:pPr>
      <w:rPr>
        <w:rFonts w:ascii="Arial" w:hAnsi="Arial" w:cs="Arial"/>
        <w:b w:val="0"/>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17"/>
        </w:tabs>
        <w:ind w:left="1417" w:hanging="567"/>
      </w:pPr>
      <w:rPr>
        <w:rFonts w:ascii="Arial" w:hAnsi="Arial" w:cs="Arial"/>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984"/>
        </w:tabs>
        <w:ind w:left="1984"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3118"/>
        </w:tabs>
        <w:ind w:left="311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69E58D1"/>
    <w:multiLevelType w:val="hybridMultilevel"/>
    <w:tmpl w:val="1BB8B150"/>
    <w:lvl w:ilvl="0" w:tplc="C2388528">
      <w:start w:val="5"/>
      <w:numFmt w:val="decimal"/>
      <w:lvlText w:val="%1."/>
      <w:lvlJc w:val="left"/>
      <w:pPr>
        <w:ind w:left="2912" w:hanging="360"/>
      </w:pPr>
      <w:rPr>
        <w:rFonts w:ascii="Arial" w:hAnsi="Arial" w:cs="Arial" w:hint="default"/>
        <w:sz w:val="20"/>
        <w:szCs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E7A599C"/>
    <w:multiLevelType w:val="multilevel"/>
    <w:tmpl w:val="8BB883F8"/>
    <w:lvl w:ilvl="0">
      <w:start w:val="1"/>
      <w:numFmt w:val="bullet"/>
      <w:pStyle w:val="ListBullet"/>
      <w:lvlText w:val=""/>
      <w:lvlJc w:val="left"/>
      <w:pPr>
        <w:tabs>
          <w:tab w:val="num" w:pos="284"/>
        </w:tabs>
        <w:ind w:left="284" w:hanging="284"/>
      </w:pPr>
      <w:rPr>
        <w:rFonts w:ascii="Wingdings" w:hAnsi="Wingdings" w:hint="default"/>
        <w:color w:val="013799"/>
        <w:position w:val="1"/>
        <w:sz w:val="14"/>
      </w:rPr>
    </w:lvl>
    <w:lvl w:ilvl="1">
      <w:start w:val="1"/>
      <w:numFmt w:val="bullet"/>
      <w:lvlText w:val="–"/>
      <w:lvlJc w:val="left"/>
      <w:pPr>
        <w:tabs>
          <w:tab w:val="num" w:pos="567"/>
        </w:tabs>
        <w:ind w:left="567" w:hanging="283"/>
      </w:pPr>
      <w:rPr>
        <w:rFonts w:ascii="Arial Black" w:hAnsi="Arial Black" w:hint="default"/>
        <w:b w:val="0"/>
        <w:i w:val="0"/>
        <w:color w:val="013799"/>
      </w:rPr>
    </w:lvl>
    <w:lvl w:ilvl="2">
      <w:start w:val="1"/>
      <w:numFmt w:val="bullet"/>
      <w:lvlText w:val=""/>
      <w:lvlJc w:val="left"/>
      <w:pPr>
        <w:tabs>
          <w:tab w:val="num" w:pos="851"/>
        </w:tabs>
        <w:ind w:left="851" w:hanging="284"/>
      </w:pPr>
      <w:rPr>
        <w:rFonts w:ascii="Wingdings" w:hAnsi="Wingdings" w:hint="default"/>
        <w:color w:val="013799"/>
        <w:sz w:val="24"/>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Wingdings" w:hAnsi="Wingdings" w:hint="default"/>
      </w:rPr>
    </w:lvl>
    <w:lvl w:ilvl="6">
      <w:start w:val="1"/>
      <w:numFmt w:val="bullet"/>
      <w:lvlText w:val=""/>
      <w:lvlJc w:val="left"/>
      <w:pPr>
        <w:tabs>
          <w:tab w:val="num" w:pos="2268"/>
        </w:tabs>
        <w:ind w:left="2268" w:hanging="283"/>
      </w:pPr>
      <w:rPr>
        <w:rFonts w:ascii="Wingdings" w:hAnsi="Wingdings"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7" w15:restartNumberingAfterBreak="0">
    <w:nsid w:val="1FA654F1"/>
    <w:multiLevelType w:val="hybridMultilevel"/>
    <w:tmpl w:val="E5BC1712"/>
    <w:lvl w:ilvl="0" w:tplc="A9664EF0">
      <w:start w:val="5"/>
      <w:numFmt w:val="decimal"/>
      <w:lvlText w:val="%1."/>
      <w:lvlJc w:val="left"/>
      <w:pPr>
        <w:ind w:left="1287" w:hanging="360"/>
      </w:pPr>
      <w:rPr>
        <w:rFonts w:ascii="Arial" w:hAnsi="Arial" w:cs="Arial" w:hint="default"/>
        <w:sz w:val="24"/>
        <w:szCs w:val="22"/>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8" w15:restartNumberingAfterBreak="0">
    <w:nsid w:val="237E52A7"/>
    <w:multiLevelType w:val="multilevel"/>
    <w:tmpl w:val="D74AD1CE"/>
    <w:lvl w:ilvl="0">
      <w:start w:val="1"/>
      <w:numFmt w:val="decimal"/>
      <w:pStyle w:val="Heading1"/>
      <w:lvlText w:val="%1."/>
      <w:lvlJc w:val="left"/>
      <w:pPr>
        <w:tabs>
          <w:tab w:val="num" w:pos="850"/>
        </w:tabs>
        <w:ind w:left="850" w:hanging="85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Heading2"/>
      <w:lvlText w:val="(%2)"/>
      <w:lvlJc w:val="left"/>
      <w:pPr>
        <w:tabs>
          <w:tab w:val="num" w:pos="1417"/>
        </w:tabs>
        <w:ind w:left="1417" w:hanging="567"/>
      </w:pPr>
      <w:rPr>
        <w:rFonts w:ascii="Arial" w:hAnsi="Arial" w:cs="Arial"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Heading3"/>
      <w:lvlText w:val="(%3)"/>
      <w:lvlJc w:val="left"/>
      <w:pPr>
        <w:tabs>
          <w:tab w:val="num" w:pos="1984"/>
        </w:tabs>
        <w:ind w:left="1984"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Heading4"/>
      <w:lvlText w:val="(%4)"/>
      <w:lvlJc w:val="left"/>
      <w:pPr>
        <w:tabs>
          <w:tab w:val="num" w:pos="2551"/>
        </w:tabs>
        <w:ind w:left="255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5"/>
      <w:lvlJc w:val="left"/>
      <w:pPr>
        <w:tabs>
          <w:tab w:val="num" w:pos="3118"/>
        </w:tabs>
        <w:ind w:left="3118"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Heading6"/>
      <w:lvlText w:val="(%6)"/>
      <w:lvlJc w:val="left"/>
      <w:pPr>
        <w:tabs>
          <w:tab w:val="num" w:pos="3118"/>
        </w:tabs>
        <w:ind w:left="3118"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Heading7"/>
      <w:lvlText w:val="%7."/>
      <w:lvlJc w:val="left"/>
      <w:pPr>
        <w:tabs>
          <w:tab w:val="num" w:pos="3118"/>
        </w:tabs>
        <w:ind w:left="3118"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3118"/>
        </w:tabs>
        <w:ind w:left="3118"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3118"/>
        </w:tabs>
        <w:ind w:left="3118"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6780ABB"/>
    <w:multiLevelType w:val="hybridMultilevel"/>
    <w:tmpl w:val="8AB0F42C"/>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0" w15:restartNumberingAfterBreak="0">
    <w:nsid w:val="2C68550A"/>
    <w:multiLevelType w:val="singleLevel"/>
    <w:tmpl w:val="A92A5634"/>
    <w:lvl w:ilvl="0">
      <w:start w:val="1"/>
      <w:numFmt w:val="bullet"/>
      <w:pStyle w:val="BillBullet"/>
      <w:lvlText w:val=""/>
      <w:lvlJc w:val="left"/>
      <w:pPr>
        <w:tabs>
          <w:tab w:val="num" w:pos="360"/>
        </w:tabs>
        <w:ind w:left="284" w:hanging="284"/>
      </w:pPr>
      <w:rPr>
        <w:rFonts w:ascii="Wingdings" w:hAnsi="Wingdings" w:hint="default"/>
      </w:rPr>
    </w:lvl>
  </w:abstractNum>
  <w:abstractNum w:abstractNumId="11" w15:restartNumberingAfterBreak="0">
    <w:nsid w:val="32D43020"/>
    <w:multiLevelType w:val="multilevel"/>
    <w:tmpl w:val="F9A48D4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203F99"/>
    <w:multiLevelType w:val="hybridMultilevel"/>
    <w:tmpl w:val="19DEAB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CD20334"/>
    <w:multiLevelType w:val="multilevel"/>
    <w:tmpl w:val="8B20B328"/>
    <w:name w:val="LitOtherList4"/>
    <w:lvl w:ilvl="0">
      <w:start w:val="1"/>
      <w:numFmt w:val="decimal"/>
      <w:lvlText w:val="%1."/>
      <w:lvlJc w:val="left"/>
      <w:pPr>
        <w:tabs>
          <w:tab w:val="num" w:pos="850"/>
        </w:tabs>
        <w:ind w:left="850" w:hanging="850"/>
      </w:pPr>
      <w:rPr>
        <w:rFonts w:ascii="Arial" w:hAnsi="Arial" w:cs="Arial"/>
        <w:b w:val="0"/>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0"/>
        </w:tabs>
        <w:ind w:left="850" w:hanging="850"/>
      </w:pPr>
      <w:rPr>
        <w:rFonts w:ascii="Arial" w:hAnsi="Arial" w:cs="Arial"/>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1984"/>
        </w:tabs>
        <w:ind w:left="1984"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551"/>
        </w:tabs>
        <w:ind w:left="2551" w:hanging="567"/>
      </w:pPr>
      <w:rPr>
        <w:rFonts w:ascii="Symbol" w:hAnsi="Symbo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lvlText w:val="%8."/>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FBC464F"/>
    <w:multiLevelType w:val="hybridMultilevel"/>
    <w:tmpl w:val="BD3087BC"/>
    <w:lvl w:ilvl="0" w:tplc="C2388528">
      <w:start w:val="5"/>
      <w:numFmt w:val="decimal"/>
      <w:lvlText w:val="%1."/>
      <w:lvlJc w:val="left"/>
      <w:pPr>
        <w:ind w:left="720" w:hanging="360"/>
      </w:pPr>
      <w:rPr>
        <w:rFonts w:ascii="Arial" w:hAnsi="Arial" w:cs="Arial" w:hint="default"/>
        <w:sz w:val="20"/>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07E538E"/>
    <w:multiLevelType w:val="hybridMultilevel"/>
    <w:tmpl w:val="8E3E82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9BE33F8"/>
    <w:multiLevelType w:val="hybridMultilevel"/>
    <w:tmpl w:val="6158F81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F0F39B9"/>
    <w:multiLevelType w:val="hybridMultilevel"/>
    <w:tmpl w:val="81C6FE06"/>
    <w:lvl w:ilvl="0" w:tplc="A9664EF0">
      <w:start w:val="5"/>
      <w:numFmt w:val="decimal"/>
      <w:lvlText w:val="%1."/>
      <w:lvlJc w:val="left"/>
      <w:pPr>
        <w:ind w:left="720" w:hanging="360"/>
      </w:pPr>
      <w:rPr>
        <w:rFonts w:ascii="Arial" w:hAnsi="Arial" w:cs="Arial" w:hint="default"/>
        <w:sz w:val="24"/>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FD97F80"/>
    <w:multiLevelType w:val="hybridMultilevel"/>
    <w:tmpl w:val="B9AA24EC"/>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9" w15:restartNumberingAfterBreak="0">
    <w:nsid w:val="52A54C5E"/>
    <w:multiLevelType w:val="hybridMultilevel"/>
    <w:tmpl w:val="9C2E065A"/>
    <w:lvl w:ilvl="0" w:tplc="C2388528">
      <w:start w:val="5"/>
      <w:numFmt w:val="decimal"/>
      <w:lvlText w:val="%1."/>
      <w:lvlJc w:val="left"/>
      <w:pPr>
        <w:ind w:left="720" w:hanging="360"/>
      </w:pPr>
      <w:rPr>
        <w:rFonts w:ascii="Arial" w:hAnsi="Arial" w:cs="Arial" w:hint="default"/>
        <w:sz w:val="20"/>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61A7B0C"/>
    <w:multiLevelType w:val="multilevel"/>
    <w:tmpl w:val="444A61A4"/>
    <w:name w:val="LitSubmissionList5"/>
    <w:lvl w:ilvl="0">
      <w:start w:val="1"/>
      <w:numFmt w:val="decimal"/>
      <w:lvlText w:val="%1."/>
      <w:lvlJc w:val="left"/>
      <w:pPr>
        <w:tabs>
          <w:tab w:val="num" w:pos="850"/>
        </w:tabs>
        <w:ind w:left="850" w:hanging="850"/>
      </w:pPr>
      <w:rPr>
        <w:rFonts w:ascii="Arial" w:hAnsi="Arial" w:cs="Arial"/>
        <w:b w:val="0"/>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0"/>
        </w:tabs>
        <w:ind w:left="850" w:hanging="850"/>
      </w:pPr>
      <w:rPr>
        <w:rFonts w:ascii="Arial" w:hAnsi="Arial" w:cs="Arial"/>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1984"/>
        </w:tabs>
        <w:ind w:left="1984"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551"/>
        </w:tabs>
        <w:ind w:left="2551" w:hanging="567"/>
      </w:pPr>
      <w:rPr>
        <w:rFonts w:ascii="Symbol" w:hAnsi="Symbo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lvlText w:val="%8."/>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6D15B5A"/>
    <w:multiLevelType w:val="hybridMultilevel"/>
    <w:tmpl w:val="B9AA24EC"/>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2" w15:restartNumberingAfterBreak="0">
    <w:nsid w:val="5BEA5AAD"/>
    <w:multiLevelType w:val="hybridMultilevel"/>
    <w:tmpl w:val="B9AA24EC"/>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3" w15:restartNumberingAfterBreak="0">
    <w:nsid w:val="5C881FB9"/>
    <w:multiLevelType w:val="hybridMultilevel"/>
    <w:tmpl w:val="A67ED90E"/>
    <w:lvl w:ilvl="0" w:tplc="86A0190E">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4" w15:restartNumberingAfterBreak="0">
    <w:nsid w:val="63B72EA4"/>
    <w:multiLevelType w:val="multilevel"/>
    <w:tmpl w:val="3FECA862"/>
    <w:name w:val="LitSubmissionList6"/>
    <w:lvl w:ilvl="0">
      <w:start w:val="1"/>
      <w:numFmt w:val="decimal"/>
      <w:lvlText w:val="%1."/>
      <w:lvlJc w:val="left"/>
      <w:pPr>
        <w:tabs>
          <w:tab w:val="num" w:pos="850"/>
        </w:tabs>
        <w:ind w:left="850" w:hanging="850"/>
      </w:pPr>
      <w:rPr>
        <w:rFonts w:ascii="Arial" w:hAnsi="Arial" w:cs="Arial"/>
        <w:b w:val="0"/>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0"/>
        </w:tabs>
        <w:ind w:left="850" w:hanging="850"/>
      </w:pPr>
      <w:rPr>
        <w:rFonts w:ascii="Arial" w:hAnsi="Arial" w:cs="Arial"/>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1984"/>
        </w:tabs>
        <w:ind w:left="1984"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551"/>
        </w:tabs>
        <w:ind w:left="2551" w:hanging="567"/>
      </w:pPr>
      <w:rPr>
        <w:rFonts w:ascii="Symbol" w:hAnsi="Symbo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lvlText w:val="%8."/>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768430B"/>
    <w:multiLevelType w:val="hybridMultilevel"/>
    <w:tmpl w:val="8AB0F42C"/>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6" w15:restartNumberingAfterBreak="0">
    <w:nsid w:val="6DB61BAC"/>
    <w:multiLevelType w:val="hybridMultilevel"/>
    <w:tmpl w:val="A48AD6CE"/>
    <w:lvl w:ilvl="0" w:tplc="7F8ED316">
      <w:start w:val="4"/>
      <w:numFmt w:val="decimal"/>
      <w:pStyle w:val="ListParagraph"/>
      <w:lvlText w:val="%1."/>
      <w:lvlJc w:val="left"/>
      <w:pPr>
        <w:ind w:left="2912" w:hanging="360"/>
      </w:pPr>
      <w:rPr>
        <w:rFonts w:ascii="Arial" w:hAnsi="Arial" w:cs="Arial" w:hint="default"/>
        <w:sz w:val="20"/>
        <w:szCs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FAB4044"/>
    <w:multiLevelType w:val="multilevel"/>
    <w:tmpl w:val="27C408F0"/>
    <w:name w:val="LitSubmissionList7"/>
    <w:lvl w:ilvl="0">
      <w:start w:val="1"/>
      <w:numFmt w:val="decimal"/>
      <w:lvlText w:val="%1."/>
      <w:lvlJc w:val="left"/>
      <w:pPr>
        <w:tabs>
          <w:tab w:val="num" w:pos="850"/>
        </w:tabs>
        <w:ind w:left="850" w:hanging="850"/>
      </w:pPr>
      <w:rPr>
        <w:rFonts w:ascii="Arial" w:hAnsi="Arial" w:cs="Arial"/>
        <w:b w:val="0"/>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0"/>
        </w:tabs>
        <w:ind w:left="850" w:hanging="850"/>
      </w:pPr>
      <w:rPr>
        <w:rFonts w:ascii="Arial" w:hAnsi="Arial" w:cs="Arial"/>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1984"/>
        </w:tabs>
        <w:ind w:left="1984"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551"/>
        </w:tabs>
        <w:ind w:left="2551" w:hanging="567"/>
      </w:pPr>
      <w:rPr>
        <w:rFonts w:ascii="Symbol" w:hAnsi="Symbo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lvlText w:val="%8."/>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left"/>
      <w:pPr>
        <w:tabs>
          <w:tab w:val="num" w:pos="2551"/>
        </w:tabs>
        <w:ind w:left="255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75533BA9"/>
    <w:multiLevelType w:val="multilevel"/>
    <w:tmpl w:val="142E79EC"/>
    <w:lvl w:ilvl="0">
      <w:start w:val="1"/>
      <w:numFmt w:val="decimal"/>
      <w:pStyle w:val="Outline1"/>
      <w:lvlText w:val="%1"/>
      <w:lvlJc w:val="left"/>
      <w:pPr>
        <w:tabs>
          <w:tab w:val="num" w:pos="709"/>
        </w:tabs>
        <w:ind w:left="709" w:hanging="709"/>
      </w:pPr>
      <w:rPr>
        <w:rFonts w:hint="default"/>
      </w:rPr>
    </w:lvl>
    <w:lvl w:ilvl="1">
      <w:start w:val="1"/>
      <w:numFmt w:val="decimal"/>
      <w:pStyle w:val="Outline2"/>
      <w:lvlText w:val="%1.%2"/>
      <w:lvlJc w:val="left"/>
      <w:pPr>
        <w:tabs>
          <w:tab w:val="num" w:pos="1702"/>
        </w:tabs>
        <w:ind w:left="709" w:hanging="709"/>
      </w:pPr>
      <w:rPr>
        <w:rFonts w:hint="default"/>
        <w:b w:val="0"/>
        <w:i w:val="0"/>
      </w:rPr>
    </w:lvl>
    <w:lvl w:ilvl="2">
      <w:start w:val="1"/>
      <w:numFmt w:val="lowerLetter"/>
      <w:pStyle w:val="Outline3"/>
      <w:lvlText w:val="%3"/>
      <w:lvlJc w:val="left"/>
      <w:pPr>
        <w:tabs>
          <w:tab w:val="num" w:pos="1134"/>
        </w:tabs>
        <w:ind w:left="1134" w:hanging="425"/>
      </w:pPr>
      <w:rPr>
        <w:rFonts w:hint="default"/>
      </w:rPr>
    </w:lvl>
    <w:lvl w:ilvl="3">
      <w:start w:val="1"/>
      <w:numFmt w:val="lowerRoman"/>
      <w:pStyle w:val="Outline4"/>
      <w:lvlText w:val="%4"/>
      <w:lvlJc w:val="left"/>
      <w:pPr>
        <w:tabs>
          <w:tab w:val="num" w:pos="1559"/>
        </w:tabs>
        <w:ind w:left="1559" w:hanging="425"/>
      </w:pPr>
      <w:rPr>
        <w:rFonts w:hint="default"/>
      </w:rPr>
    </w:lvl>
    <w:lvl w:ilvl="4">
      <w:start w:val="1"/>
      <w:numFmt w:val="upperLetter"/>
      <w:pStyle w:val="Outline5"/>
      <w:lvlText w:val="%5"/>
      <w:lvlJc w:val="left"/>
      <w:pPr>
        <w:tabs>
          <w:tab w:val="num" w:pos="1985"/>
        </w:tabs>
        <w:ind w:left="1985" w:hanging="426"/>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9" w15:restartNumberingAfterBreak="0">
    <w:nsid w:val="7C616272"/>
    <w:multiLevelType w:val="hybridMultilevel"/>
    <w:tmpl w:val="EA2C29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7FDA129D"/>
    <w:multiLevelType w:val="multilevel"/>
    <w:tmpl w:val="80A6018E"/>
    <w:name w:val="LitSubmissionList8"/>
    <w:lvl w:ilvl="0">
      <w:start w:val="1"/>
      <w:numFmt w:val="decimal"/>
      <w:lvlText w:val="%1."/>
      <w:lvlJc w:val="left"/>
      <w:pPr>
        <w:tabs>
          <w:tab w:val="num" w:pos="567"/>
        </w:tabs>
        <w:ind w:left="567" w:hanging="567"/>
      </w:pPr>
      <w:rPr>
        <w:rFonts w:ascii="Arial" w:hAnsi="Arial" w:cs="Arial"/>
        <w:b w:val="0"/>
        <w:i w:val="0"/>
        <w:caps w:val="0"/>
        <w:strike w:val="0"/>
        <w:dstrike w:val="0"/>
        <w:vanish w:val="0"/>
        <w:color w:val="auto"/>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cs="Arial"/>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134"/>
        </w:tabs>
        <w:ind w:left="1134"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1701"/>
        </w:tabs>
        <w:ind w:left="1701"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268"/>
        </w:tabs>
        <w:ind w:left="2268" w:hanging="567"/>
      </w:pPr>
      <w:rPr>
        <w:rFonts w:ascii="Symbol" w:hAnsi="Symbo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268"/>
        </w:tabs>
        <w:ind w:left="226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pPr>
        <w:tabs>
          <w:tab w:val="num" w:pos="2268"/>
        </w:tabs>
        <w:ind w:left="226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lvlText w:val="%8."/>
      <w:lvlJc w:val="left"/>
      <w:pPr>
        <w:tabs>
          <w:tab w:val="num" w:pos="2268"/>
        </w:tabs>
        <w:ind w:left="226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left"/>
      <w:pPr>
        <w:tabs>
          <w:tab w:val="num" w:pos="2268"/>
        </w:tabs>
        <w:ind w:left="2268"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8"/>
  </w:num>
  <w:num w:numId="2">
    <w:abstractNumId w:val="6"/>
  </w:num>
  <w:num w:numId="3">
    <w:abstractNumId w:val="10"/>
  </w:num>
  <w:num w:numId="4">
    <w:abstractNumId w:val="1"/>
  </w:num>
  <w:num w:numId="5">
    <w:abstractNumId w:val="8"/>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6"/>
  </w:num>
  <w:num w:numId="8">
    <w:abstractNumId w:val="28"/>
  </w:num>
  <w:num w:numId="9">
    <w:abstractNumId w:val="14"/>
  </w:num>
  <w:num w:numId="10">
    <w:abstractNumId w:val="19"/>
  </w:num>
  <w:num w:numId="11">
    <w:abstractNumId w:val="29"/>
  </w:num>
  <w:num w:numId="12">
    <w:abstractNumId w:val="29"/>
  </w:num>
  <w:num w:numId="13">
    <w:abstractNumId w:val="25"/>
  </w:num>
  <w:num w:numId="14">
    <w:abstractNumId w:val="12"/>
  </w:num>
  <w:num w:numId="15">
    <w:abstractNumId w:val="7"/>
  </w:num>
  <w:num w:numId="16">
    <w:abstractNumId w:val="0"/>
  </w:num>
  <w:num w:numId="17">
    <w:abstractNumId w:val="5"/>
  </w:num>
  <w:num w:numId="18">
    <w:abstractNumId w:val="22"/>
  </w:num>
  <w:num w:numId="19">
    <w:abstractNumId w:val="21"/>
  </w:num>
  <w:num w:numId="20">
    <w:abstractNumId w:val="18"/>
  </w:num>
  <w:num w:numId="21">
    <w:abstractNumId w:val="17"/>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5"/>
  </w:num>
  <w:num w:numId="27">
    <w:abstractNumId w:val="26"/>
    <w:lvlOverride w:ilvl="0">
      <w:startOverride w:val="4"/>
    </w:lvlOverride>
  </w:num>
  <w:num w:numId="28">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NZ" w:vendorID="64" w:dllVersion="6" w:nlCheck="1" w:checkStyle="1"/>
  <w:activeWritingStyle w:appName="MSWord" w:lang="en-US" w:vendorID="64" w:dllVersion="6" w:nlCheck="1" w:checkStyle="1"/>
  <w:activeWritingStyle w:appName="MSWord" w:lang="en-GB" w:vendorID="64" w:dllVersion="6" w:nlCheck="1" w:checkStyle="1"/>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DocType" w:val="Litigation"/>
    <w:docVar w:name="BGDateAndTime" w:val="BGDateAndTime"/>
    <w:docVar w:name="Court" w:val="99"/>
    <w:docVar w:name="DoNot" w:val="-1"/>
    <w:docVar w:name="Footers" w:val="3"/>
    <w:docVar w:name="Numbering" w:val=" 0"/>
    <w:docVar w:name="Regenerate" w:val="_x000d__x0007__x000d__x0007__x000d__x0007__x000d__x0007_In the Environment Court_x000d__x0007_ENV-2014-WLG-030,031_x000d__x0007__x000d__x0007_Wellington Registry_x000d__x0007__x000d__x0007__x000d__x0007__x000d__x0007_Under the Resource Management Act 1991_x000b_In the matter of two appeals pursuant to section 120 of the Act_x000d__x0007__x000d__x0007__x000d__x0007__x000d__x0007__x000d__x0007__x000d__x0007__x000d_Between_x000d__x0007__x000d__x0007_Watson_x000d__x0007__x000d__x0007_Appellant_x000d__x0007__x000d__x0007_and_x000d__x0007__x000d__x0007__x000d__x0007_McCullough_x000d__x0007__x000d__x0007_Appellant_x000d__x0007__x000d__x0007__x000d_and_x000d__x0007__x000d__x0007__x000d__x0007_Stratford District Council_x000d__x0007__x000d__x0007_Respondent_x000d__x0007__x000d__x0007_and_x000d__x0007__x000d__x0007__x000d__x0007_Progressive Enterprises Limited_x000d__x0007__x000d__x0007_Applicant_x000d__x0007__x000d__x0007__x000d_Statement of Evidence in Chief of [INSERT NAME] on behalf of Progressive Enterprises Limited dated [INSERT DATE]_x000d__x0007__x000d__x0007__x000d__x0007__x000d__x0007__x000d__x0007__x000d__x0007__x000d__x0007__x000d__x0007__x000d__x0007__x000d__x0007_ _x000d__x0007__x000d__x0007__x000d__x000c__x000d_"/>
    <w:docVar w:name="Type" w:val="1., (a), (i), (A) - all except submission"/>
  </w:docVars>
  <w:rsids>
    <w:rsidRoot w:val="00DD4FD0"/>
    <w:rsid w:val="00000A23"/>
    <w:rsid w:val="000010D6"/>
    <w:rsid w:val="0000125E"/>
    <w:rsid w:val="000017B3"/>
    <w:rsid w:val="00001C87"/>
    <w:rsid w:val="00003F61"/>
    <w:rsid w:val="000041B6"/>
    <w:rsid w:val="00004564"/>
    <w:rsid w:val="0000507B"/>
    <w:rsid w:val="000050FB"/>
    <w:rsid w:val="00005B18"/>
    <w:rsid w:val="00005C9F"/>
    <w:rsid w:val="00006256"/>
    <w:rsid w:val="0000689B"/>
    <w:rsid w:val="00007258"/>
    <w:rsid w:val="00007DAD"/>
    <w:rsid w:val="00007FD1"/>
    <w:rsid w:val="00010326"/>
    <w:rsid w:val="0001036C"/>
    <w:rsid w:val="00013A3F"/>
    <w:rsid w:val="00013FA3"/>
    <w:rsid w:val="000141AD"/>
    <w:rsid w:val="00014C05"/>
    <w:rsid w:val="00015A7E"/>
    <w:rsid w:val="00015AC3"/>
    <w:rsid w:val="00017182"/>
    <w:rsid w:val="000174D4"/>
    <w:rsid w:val="000177AC"/>
    <w:rsid w:val="000206BE"/>
    <w:rsid w:val="00020AD6"/>
    <w:rsid w:val="00020CF1"/>
    <w:rsid w:val="00020FED"/>
    <w:rsid w:val="000210C9"/>
    <w:rsid w:val="00021126"/>
    <w:rsid w:val="00021421"/>
    <w:rsid w:val="000218D6"/>
    <w:rsid w:val="00021A92"/>
    <w:rsid w:val="00022B4E"/>
    <w:rsid w:val="00022BB9"/>
    <w:rsid w:val="00022BD5"/>
    <w:rsid w:val="00023A10"/>
    <w:rsid w:val="0002478A"/>
    <w:rsid w:val="00024D02"/>
    <w:rsid w:val="00024F26"/>
    <w:rsid w:val="00024F96"/>
    <w:rsid w:val="000275D0"/>
    <w:rsid w:val="00030627"/>
    <w:rsid w:val="000313A7"/>
    <w:rsid w:val="00031AB8"/>
    <w:rsid w:val="00031C40"/>
    <w:rsid w:val="00032083"/>
    <w:rsid w:val="0003214A"/>
    <w:rsid w:val="00033CE7"/>
    <w:rsid w:val="00033FA7"/>
    <w:rsid w:val="00037B38"/>
    <w:rsid w:val="00037C31"/>
    <w:rsid w:val="0004040A"/>
    <w:rsid w:val="000418C5"/>
    <w:rsid w:val="0004236E"/>
    <w:rsid w:val="00043610"/>
    <w:rsid w:val="0004510D"/>
    <w:rsid w:val="0004621C"/>
    <w:rsid w:val="00046C8D"/>
    <w:rsid w:val="00047836"/>
    <w:rsid w:val="000504E4"/>
    <w:rsid w:val="0005068F"/>
    <w:rsid w:val="00050AF2"/>
    <w:rsid w:val="00050C29"/>
    <w:rsid w:val="00050ED8"/>
    <w:rsid w:val="000522FA"/>
    <w:rsid w:val="00053E26"/>
    <w:rsid w:val="00053F4D"/>
    <w:rsid w:val="000543AD"/>
    <w:rsid w:val="00055CAB"/>
    <w:rsid w:val="00057E1B"/>
    <w:rsid w:val="00060AA6"/>
    <w:rsid w:val="000616B8"/>
    <w:rsid w:val="00062237"/>
    <w:rsid w:val="00062694"/>
    <w:rsid w:val="000631B3"/>
    <w:rsid w:val="000632C5"/>
    <w:rsid w:val="00063312"/>
    <w:rsid w:val="00064C80"/>
    <w:rsid w:val="00064D2A"/>
    <w:rsid w:val="000658A0"/>
    <w:rsid w:val="0006629E"/>
    <w:rsid w:val="00066A48"/>
    <w:rsid w:val="00066F1B"/>
    <w:rsid w:val="0006728F"/>
    <w:rsid w:val="00070339"/>
    <w:rsid w:val="000707EF"/>
    <w:rsid w:val="00071124"/>
    <w:rsid w:val="0007165B"/>
    <w:rsid w:val="00073591"/>
    <w:rsid w:val="000747FD"/>
    <w:rsid w:val="00075DD0"/>
    <w:rsid w:val="0007606B"/>
    <w:rsid w:val="000763E7"/>
    <w:rsid w:val="00076435"/>
    <w:rsid w:val="00076BC0"/>
    <w:rsid w:val="00076FF5"/>
    <w:rsid w:val="000825CB"/>
    <w:rsid w:val="00082E1C"/>
    <w:rsid w:val="000830DA"/>
    <w:rsid w:val="000831DC"/>
    <w:rsid w:val="00085DA8"/>
    <w:rsid w:val="000864AA"/>
    <w:rsid w:val="00087961"/>
    <w:rsid w:val="00091196"/>
    <w:rsid w:val="00091537"/>
    <w:rsid w:val="0009206D"/>
    <w:rsid w:val="000924B7"/>
    <w:rsid w:val="00094183"/>
    <w:rsid w:val="00094D7D"/>
    <w:rsid w:val="00094F07"/>
    <w:rsid w:val="00095820"/>
    <w:rsid w:val="00096B18"/>
    <w:rsid w:val="00097191"/>
    <w:rsid w:val="00097703"/>
    <w:rsid w:val="000A0237"/>
    <w:rsid w:val="000A1144"/>
    <w:rsid w:val="000A1BBC"/>
    <w:rsid w:val="000A29BE"/>
    <w:rsid w:val="000A3185"/>
    <w:rsid w:val="000A57C3"/>
    <w:rsid w:val="000A599B"/>
    <w:rsid w:val="000A5FB4"/>
    <w:rsid w:val="000A616C"/>
    <w:rsid w:val="000A6D36"/>
    <w:rsid w:val="000A7F82"/>
    <w:rsid w:val="000B063D"/>
    <w:rsid w:val="000B0DF6"/>
    <w:rsid w:val="000B2561"/>
    <w:rsid w:val="000B313C"/>
    <w:rsid w:val="000B42BD"/>
    <w:rsid w:val="000B46AA"/>
    <w:rsid w:val="000B4799"/>
    <w:rsid w:val="000B4EB6"/>
    <w:rsid w:val="000B5AC5"/>
    <w:rsid w:val="000B5CCA"/>
    <w:rsid w:val="000B681A"/>
    <w:rsid w:val="000B76B2"/>
    <w:rsid w:val="000B7BBA"/>
    <w:rsid w:val="000B7F43"/>
    <w:rsid w:val="000C05C8"/>
    <w:rsid w:val="000C0D71"/>
    <w:rsid w:val="000C0E7A"/>
    <w:rsid w:val="000C18BE"/>
    <w:rsid w:val="000C2781"/>
    <w:rsid w:val="000C364F"/>
    <w:rsid w:val="000C52A4"/>
    <w:rsid w:val="000C5681"/>
    <w:rsid w:val="000C6813"/>
    <w:rsid w:val="000C6B44"/>
    <w:rsid w:val="000C7BF0"/>
    <w:rsid w:val="000D0063"/>
    <w:rsid w:val="000D121E"/>
    <w:rsid w:val="000D1512"/>
    <w:rsid w:val="000D1941"/>
    <w:rsid w:val="000D2788"/>
    <w:rsid w:val="000D2AA7"/>
    <w:rsid w:val="000D3D55"/>
    <w:rsid w:val="000D412E"/>
    <w:rsid w:val="000D6F59"/>
    <w:rsid w:val="000D77C7"/>
    <w:rsid w:val="000E141C"/>
    <w:rsid w:val="000E1631"/>
    <w:rsid w:val="000E2016"/>
    <w:rsid w:val="000E43D4"/>
    <w:rsid w:val="000E4F5A"/>
    <w:rsid w:val="000E5FA6"/>
    <w:rsid w:val="000F23E8"/>
    <w:rsid w:val="000F45C5"/>
    <w:rsid w:val="000F4A7A"/>
    <w:rsid w:val="000F4C8A"/>
    <w:rsid w:val="000F523D"/>
    <w:rsid w:val="000F528F"/>
    <w:rsid w:val="000F6878"/>
    <w:rsid w:val="000F6DED"/>
    <w:rsid w:val="0010068E"/>
    <w:rsid w:val="00100AD7"/>
    <w:rsid w:val="00101479"/>
    <w:rsid w:val="0010207E"/>
    <w:rsid w:val="001028E1"/>
    <w:rsid w:val="00103E2C"/>
    <w:rsid w:val="001040CD"/>
    <w:rsid w:val="00105EC8"/>
    <w:rsid w:val="00106779"/>
    <w:rsid w:val="001076C3"/>
    <w:rsid w:val="0010785D"/>
    <w:rsid w:val="00110B72"/>
    <w:rsid w:val="00111DE1"/>
    <w:rsid w:val="00112DB0"/>
    <w:rsid w:val="00113AA3"/>
    <w:rsid w:val="001145DB"/>
    <w:rsid w:val="001147D8"/>
    <w:rsid w:val="00114CE9"/>
    <w:rsid w:val="00115E76"/>
    <w:rsid w:val="00117EAB"/>
    <w:rsid w:val="00120B04"/>
    <w:rsid w:val="00121005"/>
    <w:rsid w:val="00121A84"/>
    <w:rsid w:val="001223EA"/>
    <w:rsid w:val="00123610"/>
    <w:rsid w:val="001241F9"/>
    <w:rsid w:val="00124A95"/>
    <w:rsid w:val="00125242"/>
    <w:rsid w:val="00125ED7"/>
    <w:rsid w:val="00125FE2"/>
    <w:rsid w:val="00127429"/>
    <w:rsid w:val="0013084F"/>
    <w:rsid w:val="00130A50"/>
    <w:rsid w:val="00130E83"/>
    <w:rsid w:val="00130EF5"/>
    <w:rsid w:val="00131412"/>
    <w:rsid w:val="0013185E"/>
    <w:rsid w:val="001333DC"/>
    <w:rsid w:val="0013438F"/>
    <w:rsid w:val="00135629"/>
    <w:rsid w:val="00136891"/>
    <w:rsid w:val="001373D3"/>
    <w:rsid w:val="00137912"/>
    <w:rsid w:val="00137C36"/>
    <w:rsid w:val="001414D0"/>
    <w:rsid w:val="001420AE"/>
    <w:rsid w:val="001432AF"/>
    <w:rsid w:val="001436D7"/>
    <w:rsid w:val="00143C7C"/>
    <w:rsid w:val="00144B06"/>
    <w:rsid w:val="0014509A"/>
    <w:rsid w:val="00146336"/>
    <w:rsid w:val="0014662A"/>
    <w:rsid w:val="00146BC0"/>
    <w:rsid w:val="00146CFF"/>
    <w:rsid w:val="00147791"/>
    <w:rsid w:val="00150202"/>
    <w:rsid w:val="001505DF"/>
    <w:rsid w:val="00150DB3"/>
    <w:rsid w:val="00150E56"/>
    <w:rsid w:val="00150FA2"/>
    <w:rsid w:val="00151140"/>
    <w:rsid w:val="00152AA5"/>
    <w:rsid w:val="0015413E"/>
    <w:rsid w:val="0015471F"/>
    <w:rsid w:val="001551A9"/>
    <w:rsid w:val="001552DE"/>
    <w:rsid w:val="00155805"/>
    <w:rsid w:val="00156EF1"/>
    <w:rsid w:val="00160494"/>
    <w:rsid w:val="00160FDB"/>
    <w:rsid w:val="00161676"/>
    <w:rsid w:val="00162772"/>
    <w:rsid w:val="0016375C"/>
    <w:rsid w:val="00164212"/>
    <w:rsid w:val="00164342"/>
    <w:rsid w:val="00165C15"/>
    <w:rsid w:val="00167587"/>
    <w:rsid w:val="00167A32"/>
    <w:rsid w:val="00171E80"/>
    <w:rsid w:val="00172222"/>
    <w:rsid w:val="001723C9"/>
    <w:rsid w:val="001728FF"/>
    <w:rsid w:val="00173A35"/>
    <w:rsid w:val="00175869"/>
    <w:rsid w:val="001765F2"/>
    <w:rsid w:val="00177300"/>
    <w:rsid w:val="001803FC"/>
    <w:rsid w:val="00181914"/>
    <w:rsid w:val="00181950"/>
    <w:rsid w:val="00181981"/>
    <w:rsid w:val="00181CC5"/>
    <w:rsid w:val="00182DA8"/>
    <w:rsid w:val="0018323B"/>
    <w:rsid w:val="00183939"/>
    <w:rsid w:val="00183ED0"/>
    <w:rsid w:val="00184153"/>
    <w:rsid w:val="00185F23"/>
    <w:rsid w:val="00186401"/>
    <w:rsid w:val="001865A8"/>
    <w:rsid w:val="001865FD"/>
    <w:rsid w:val="001867A5"/>
    <w:rsid w:val="0018760A"/>
    <w:rsid w:val="00187C51"/>
    <w:rsid w:val="00190563"/>
    <w:rsid w:val="00190BAE"/>
    <w:rsid w:val="00190D1E"/>
    <w:rsid w:val="00192BAB"/>
    <w:rsid w:val="0019322B"/>
    <w:rsid w:val="00193553"/>
    <w:rsid w:val="00193B91"/>
    <w:rsid w:val="00193D7C"/>
    <w:rsid w:val="00194C6C"/>
    <w:rsid w:val="00196657"/>
    <w:rsid w:val="00196D98"/>
    <w:rsid w:val="001A02E4"/>
    <w:rsid w:val="001A09D3"/>
    <w:rsid w:val="001A1422"/>
    <w:rsid w:val="001A22D6"/>
    <w:rsid w:val="001A2F8C"/>
    <w:rsid w:val="001A3467"/>
    <w:rsid w:val="001A3E7E"/>
    <w:rsid w:val="001A428F"/>
    <w:rsid w:val="001A4447"/>
    <w:rsid w:val="001A4AF7"/>
    <w:rsid w:val="001A5F09"/>
    <w:rsid w:val="001A66AA"/>
    <w:rsid w:val="001A6807"/>
    <w:rsid w:val="001A6ED9"/>
    <w:rsid w:val="001A6F4C"/>
    <w:rsid w:val="001A7C5A"/>
    <w:rsid w:val="001B0B2A"/>
    <w:rsid w:val="001B13C9"/>
    <w:rsid w:val="001B1787"/>
    <w:rsid w:val="001B1953"/>
    <w:rsid w:val="001B1D97"/>
    <w:rsid w:val="001B1EBD"/>
    <w:rsid w:val="001B1EE4"/>
    <w:rsid w:val="001B3B76"/>
    <w:rsid w:val="001B3E78"/>
    <w:rsid w:val="001B46DE"/>
    <w:rsid w:val="001B547A"/>
    <w:rsid w:val="001B54FD"/>
    <w:rsid w:val="001B56B3"/>
    <w:rsid w:val="001B6D5D"/>
    <w:rsid w:val="001B7328"/>
    <w:rsid w:val="001C08AA"/>
    <w:rsid w:val="001C1D61"/>
    <w:rsid w:val="001C23A4"/>
    <w:rsid w:val="001C2F66"/>
    <w:rsid w:val="001C3012"/>
    <w:rsid w:val="001C3805"/>
    <w:rsid w:val="001C4CCB"/>
    <w:rsid w:val="001C67F4"/>
    <w:rsid w:val="001C75B7"/>
    <w:rsid w:val="001D02E7"/>
    <w:rsid w:val="001D12CF"/>
    <w:rsid w:val="001D1DE7"/>
    <w:rsid w:val="001D374B"/>
    <w:rsid w:val="001D44B8"/>
    <w:rsid w:val="001D68A2"/>
    <w:rsid w:val="001D6B34"/>
    <w:rsid w:val="001D7521"/>
    <w:rsid w:val="001D7997"/>
    <w:rsid w:val="001D7CFD"/>
    <w:rsid w:val="001D7E42"/>
    <w:rsid w:val="001E43BF"/>
    <w:rsid w:val="001E49FF"/>
    <w:rsid w:val="001E587E"/>
    <w:rsid w:val="001E6B06"/>
    <w:rsid w:val="001E759D"/>
    <w:rsid w:val="001E75FB"/>
    <w:rsid w:val="001F079D"/>
    <w:rsid w:val="001F0847"/>
    <w:rsid w:val="001F138C"/>
    <w:rsid w:val="001F22F2"/>
    <w:rsid w:val="001F2347"/>
    <w:rsid w:val="001F276E"/>
    <w:rsid w:val="001F3D45"/>
    <w:rsid w:val="001F6DC8"/>
    <w:rsid w:val="001F7C48"/>
    <w:rsid w:val="00200189"/>
    <w:rsid w:val="0020069F"/>
    <w:rsid w:val="0020370B"/>
    <w:rsid w:val="00206B1C"/>
    <w:rsid w:val="00206D7E"/>
    <w:rsid w:val="0020701B"/>
    <w:rsid w:val="00207905"/>
    <w:rsid w:val="0020792C"/>
    <w:rsid w:val="00210984"/>
    <w:rsid w:val="00210C1E"/>
    <w:rsid w:val="00211067"/>
    <w:rsid w:val="00211C04"/>
    <w:rsid w:val="00214242"/>
    <w:rsid w:val="0021515E"/>
    <w:rsid w:val="002164B7"/>
    <w:rsid w:val="00217DAC"/>
    <w:rsid w:val="002207C4"/>
    <w:rsid w:val="00221928"/>
    <w:rsid w:val="002228B0"/>
    <w:rsid w:val="00224D9A"/>
    <w:rsid w:val="0022615E"/>
    <w:rsid w:val="00226281"/>
    <w:rsid w:val="00227905"/>
    <w:rsid w:val="00231C12"/>
    <w:rsid w:val="0023212C"/>
    <w:rsid w:val="002321F5"/>
    <w:rsid w:val="0023223A"/>
    <w:rsid w:val="00232627"/>
    <w:rsid w:val="0023420F"/>
    <w:rsid w:val="00234BC6"/>
    <w:rsid w:val="00235362"/>
    <w:rsid w:val="0023568E"/>
    <w:rsid w:val="00236FFC"/>
    <w:rsid w:val="00240F1E"/>
    <w:rsid w:val="002414F5"/>
    <w:rsid w:val="002421E3"/>
    <w:rsid w:val="00243112"/>
    <w:rsid w:val="0024322D"/>
    <w:rsid w:val="0024517D"/>
    <w:rsid w:val="00246633"/>
    <w:rsid w:val="00247FAC"/>
    <w:rsid w:val="0025154B"/>
    <w:rsid w:val="00252D5D"/>
    <w:rsid w:val="00254FD3"/>
    <w:rsid w:val="0025501D"/>
    <w:rsid w:val="002558E1"/>
    <w:rsid w:val="002559F2"/>
    <w:rsid w:val="00256DC2"/>
    <w:rsid w:val="00257864"/>
    <w:rsid w:val="00257FB4"/>
    <w:rsid w:val="00260700"/>
    <w:rsid w:val="00262326"/>
    <w:rsid w:val="002626D5"/>
    <w:rsid w:val="00262CCE"/>
    <w:rsid w:val="0026331A"/>
    <w:rsid w:val="002638ED"/>
    <w:rsid w:val="00263A6C"/>
    <w:rsid w:val="00265A0E"/>
    <w:rsid w:val="00265F4A"/>
    <w:rsid w:val="00266D54"/>
    <w:rsid w:val="00267350"/>
    <w:rsid w:val="00267FBF"/>
    <w:rsid w:val="00270703"/>
    <w:rsid w:val="00272463"/>
    <w:rsid w:val="00272550"/>
    <w:rsid w:val="00273324"/>
    <w:rsid w:val="00273753"/>
    <w:rsid w:val="00274EED"/>
    <w:rsid w:val="002752C0"/>
    <w:rsid w:val="002755B2"/>
    <w:rsid w:val="00276052"/>
    <w:rsid w:val="00277026"/>
    <w:rsid w:val="00280F57"/>
    <w:rsid w:val="00281EE4"/>
    <w:rsid w:val="002829DB"/>
    <w:rsid w:val="00282A34"/>
    <w:rsid w:val="002837C9"/>
    <w:rsid w:val="00283AE8"/>
    <w:rsid w:val="00283F3F"/>
    <w:rsid w:val="00284222"/>
    <w:rsid w:val="002858B4"/>
    <w:rsid w:val="00285E41"/>
    <w:rsid w:val="002860D5"/>
    <w:rsid w:val="002862A4"/>
    <w:rsid w:val="00286A3E"/>
    <w:rsid w:val="00287A7C"/>
    <w:rsid w:val="0029064D"/>
    <w:rsid w:val="00290E2D"/>
    <w:rsid w:val="0029603C"/>
    <w:rsid w:val="00296EF1"/>
    <w:rsid w:val="00297D01"/>
    <w:rsid w:val="002A0056"/>
    <w:rsid w:val="002A0211"/>
    <w:rsid w:val="002A1507"/>
    <w:rsid w:val="002A2104"/>
    <w:rsid w:val="002A214A"/>
    <w:rsid w:val="002A29C8"/>
    <w:rsid w:val="002A2FF6"/>
    <w:rsid w:val="002A30A0"/>
    <w:rsid w:val="002A395B"/>
    <w:rsid w:val="002A69DE"/>
    <w:rsid w:val="002A701A"/>
    <w:rsid w:val="002A7DAB"/>
    <w:rsid w:val="002A7DB1"/>
    <w:rsid w:val="002B1F74"/>
    <w:rsid w:val="002B2366"/>
    <w:rsid w:val="002B27E3"/>
    <w:rsid w:val="002B3F40"/>
    <w:rsid w:val="002B4F87"/>
    <w:rsid w:val="002B6F26"/>
    <w:rsid w:val="002C1365"/>
    <w:rsid w:val="002C2099"/>
    <w:rsid w:val="002C20A4"/>
    <w:rsid w:val="002C2899"/>
    <w:rsid w:val="002C2A22"/>
    <w:rsid w:val="002C2D50"/>
    <w:rsid w:val="002C2DA0"/>
    <w:rsid w:val="002C3EBC"/>
    <w:rsid w:val="002C419E"/>
    <w:rsid w:val="002C4A84"/>
    <w:rsid w:val="002C5074"/>
    <w:rsid w:val="002C738F"/>
    <w:rsid w:val="002C78B8"/>
    <w:rsid w:val="002D1FA2"/>
    <w:rsid w:val="002D4D98"/>
    <w:rsid w:val="002D4DD6"/>
    <w:rsid w:val="002D5764"/>
    <w:rsid w:val="002D5A52"/>
    <w:rsid w:val="002D7730"/>
    <w:rsid w:val="002D784A"/>
    <w:rsid w:val="002D7F06"/>
    <w:rsid w:val="002E0DFF"/>
    <w:rsid w:val="002E2331"/>
    <w:rsid w:val="002E2652"/>
    <w:rsid w:val="002E2F25"/>
    <w:rsid w:val="002E34C9"/>
    <w:rsid w:val="002E6A4A"/>
    <w:rsid w:val="002E6D3D"/>
    <w:rsid w:val="002E71E8"/>
    <w:rsid w:val="002F08B2"/>
    <w:rsid w:val="002F0EC4"/>
    <w:rsid w:val="002F1011"/>
    <w:rsid w:val="002F122F"/>
    <w:rsid w:val="002F16FD"/>
    <w:rsid w:val="002F24DC"/>
    <w:rsid w:val="002F479F"/>
    <w:rsid w:val="002F5258"/>
    <w:rsid w:val="002F5879"/>
    <w:rsid w:val="002F7E01"/>
    <w:rsid w:val="0030018F"/>
    <w:rsid w:val="0030026C"/>
    <w:rsid w:val="00300C76"/>
    <w:rsid w:val="00301499"/>
    <w:rsid w:val="00301D13"/>
    <w:rsid w:val="003022B8"/>
    <w:rsid w:val="00303E6A"/>
    <w:rsid w:val="003069EA"/>
    <w:rsid w:val="003072F8"/>
    <w:rsid w:val="00311548"/>
    <w:rsid w:val="00312024"/>
    <w:rsid w:val="003123E1"/>
    <w:rsid w:val="00312613"/>
    <w:rsid w:val="00312DF5"/>
    <w:rsid w:val="0031410F"/>
    <w:rsid w:val="003145D9"/>
    <w:rsid w:val="003146E8"/>
    <w:rsid w:val="00315B9C"/>
    <w:rsid w:val="0031613E"/>
    <w:rsid w:val="0031770B"/>
    <w:rsid w:val="003220E1"/>
    <w:rsid w:val="00322611"/>
    <w:rsid w:val="003240F1"/>
    <w:rsid w:val="00324CA1"/>
    <w:rsid w:val="0032634B"/>
    <w:rsid w:val="00327FEF"/>
    <w:rsid w:val="0033072C"/>
    <w:rsid w:val="00331867"/>
    <w:rsid w:val="00331AEE"/>
    <w:rsid w:val="00331D32"/>
    <w:rsid w:val="00332000"/>
    <w:rsid w:val="00332116"/>
    <w:rsid w:val="003340AD"/>
    <w:rsid w:val="0033482B"/>
    <w:rsid w:val="0033640C"/>
    <w:rsid w:val="00342C31"/>
    <w:rsid w:val="003430A9"/>
    <w:rsid w:val="00345501"/>
    <w:rsid w:val="00347BDD"/>
    <w:rsid w:val="003505CE"/>
    <w:rsid w:val="00351D19"/>
    <w:rsid w:val="00352AF2"/>
    <w:rsid w:val="00352BF0"/>
    <w:rsid w:val="00353470"/>
    <w:rsid w:val="003538C3"/>
    <w:rsid w:val="00354713"/>
    <w:rsid w:val="0035551B"/>
    <w:rsid w:val="0035649F"/>
    <w:rsid w:val="00356DA2"/>
    <w:rsid w:val="0036097C"/>
    <w:rsid w:val="00361024"/>
    <w:rsid w:val="00361337"/>
    <w:rsid w:val="003620CA"/>
    <w:rsid w:val="0036298D"/>
    <w:rsid w:val="00363707"/>
    <w:rsid w:val="00363B57"/>
    <w:rsid w:val="00363EAA"/>
    <w:rsid w:val="00363ED9"/>
    <w:rsid w:val="00364A35"/>
    <w:rsid w:val="003650C3"/>
    <w:rsid w:val="00365FEB"/>
    <w:rsid w:val="003669A7"/>
    <w:rsid w:val="00366C56"/>
    <w:rsid w:val="00366C58"/>
    <w:rsid w:val="00366F44"/>
    <w:rsid w:val="0036741D"/>
    <w:rsid w:val="003676F4"/>
    <w:rsid w:val="00371026"/>
    <w:rsid w:val="003713D7"/>
    <w:rsid w:val="00371F8A"/>
    <w:rsid w:val="0037219E"/>
    <w:rsid w:val="00372741"/>
    <w:rsid w:val="00372835"/>
    <w:rsid w:val="003728A6"/>
    <w:rsid w:val="00372B12"/>
    <w:rsid w:val="003731D3"/>
    <w:rsid w:val="003735EF"/>
    <w:rsid w:val="00373EA7"/>
    <w:rsid w:val="00374502"/>
    <w:rsid w:val="00376083"/>
    <w:rsid w:val="003770C3"/>
    <w:rsid w:val="003812ED"/>
    <w:rsid w:val="0038135F"/>
    <w:rsid w:val="00381E4D"/>
    <w:rsid w:val="00382391"/>
    <w:rsid w:val="003823F8"/>
    <w:rsid w:val="00382724"/>
    <w:rsid w:val="00385251"/>
    <w:rsid w:val="00385E30"/>
    <w:rsid w:val="0038615C"/>
    <w:rsid w:val="003867DD"/>
    <w:rsid w:val="00386C38"/>
    <w:rsid w:val="00386D2D"/>
    <w:rsid w:val="00387681"/>
    <w:rsid w:val="003878BB"/>
    <w:rsid w:val="003878C1"/>
    <w:rsid w:val="00390BB7"/>
    <w:rsid w:val="00390CB4"/>
    <w:rsid w:val="00390E84"/>
    <w:rsid w:val="00391C99"/>
    <w:rsid w:val="003921E8"/>
    <w:rsid w:val="00393185"/>
    <w:rsid w:val="0039368A"/>
    <w:rsid w:val="00393ABE"/>
    <w:rsid w:val="00393B57"/>
    <w:rsid w:val="003949BC"/>
    <w:rsid w:val="00394C70"/>
    <w:rsid w:val="00396763"/>
    <w:rsid w:val="00396BBC"/>
    <w:rsid w:val="00397C62"/>
    <w:rsid w:val="003A06A9"/>
    <w:rsid w:val="003A06E5"/>
    <w:rsid w:val="003A15D3"/>
    <w:rsid w:val="003A2CDA"/>
    <w:rsid w:val="003A2D2D"/>
    <w:rsid w:val="003A3077"/>
    <w:rsid w:val="003A5351"/>
    <w:rsid w:val="003A59B8"/>
    <w:rsid w:val="003A646E"/>
    <w:rsid w:val="003B00B4"/>
    <w:rsid w:val="003B0DD7"/>
    <w:rsid w:val="003B111E"/>
    <w:rsid w:val="003B20EC"/>
    <w:rsid w:val="003B31EF"/>
    <w:rsid w:val="003B3522"/>
    <w:rsid w:val="003B40A6"/>
    <w:rsid w:val="003B546B"/>
    <w:rsid w:val="003B756E"/>
    <w:rsid w:val="003B7E9E"/>
    <w:rsid w:val="003C0A40"/>
    <w:rsid w:val="003C2518"/>
    <w:rsid w:val="003C2B95"/>
    <w:rsid w:val="003C3E20"/>
    <w:rsid w:val="003C44C9"/>
    <w:rsid w:val="003C60B5"/>
    <w:rsid w:val="003C668E"/>
    <w:rsid w:val="003C6798"/>
    <w:rsid w:val="003C693E"/>
    <w:rsid w:val="003C77E4"/>
    <w:rsid w:val="003C7A58"/>
    <w:rsid w:val="003C7C2B"/>
    <w:rsid w:val="003C7FC5"/>
    <w:rsid w:val="003D0781"/>
    <w:rsid w:val="003D0A3E"/>
    <w:rsid w:val="003D2AEC"/>
    <w:rsid w:val="003D380C"/>
    <w:rsid w:val="003D4F0E"/>
    <w:rsid w:val="003D68B4"/>
    <w:rsid w:val="003D7076"/>
    <w:rsid w:val="003D75F4"/>
    <w:rsid w:val="003E02BB"/>
    <w:rsid w:val="003E2653"/>
    <w:rsid w:val="003E2682"/>
    <w:rsid w:val="003E3A8C"/>
    <w:rsid w:val="003E41B5"/>
    <w:rsid w:val="003E4A6A"/>
    <w:rsid w:val="003E7B31"/>
    <w:rsid w:val="003F03CC"/>
    <w:rsid w:val="003F07DB"/>
    <w:rsid w:val="003F0BE1"/>
    <w:rsid w:val="003F0D2E"/>
    <w:rsid w:val="003F155F"/>
    <w:rsid w:val="003F219B"/>
    <w:rsid w:val="003F33A7"/>
    <w:rsid w:val="003F3D3E"/>
    <w:rsid w:val="003F4100"/>
    <w:rsid w:val="003F482B"/>
    <w:rsid w:val="003F5779"/>
    <w:rsid w:val="003F5A39"/>
    <w:rsid w:val="003F653F"/>
    <w:rsid w:val="003F7CDE"/>
    <w:rsid w:val="00400621"/>
    <w:rsid w:val="00400CAA"/>
    <w:rsid w:val="004012F5"/>
    <w:rsid w:val="00401E80"/>
    <w:rsid w:val="00404BA4"/>
    <w:rsid w:val="00404D08"/>
    <w:rsid w:val="0040617F"/>
    <w:rsid w:val="004062A5"/>
    <w:rsid w:val="00406E9D"/>
    <w:rsid w:val="00411C11"/>
    <w:rsid w:val="00412BB9"/>
    <w:rsid w:val="00413732"/>
    <w:rsid w:val="00413ABF"/>
    <w:rsid w:val="004149A0"/>
    <w:rsid w:val="00415911"/>
    <w:rsid w:val="00415F6C"/>
    <w:rsid w:val="004167F7"/>
    <w:rsid w:val="00416992"/>
    <w:rsid w:val="00417E54"/>
    <w:rsid w:val="00420925"/>
    <w:rsid w:val="00421E57"/>
    <w:rsid w:val="004222B5"/>
    <w:rsid w:val="00422770"/>
    <w:rsid w:val="00422D2B"/>
    <w:rsid w:val="00423372"/>
    <w:rsid w:val="004237A0"/>
    <w:rsid w:val="00423FA7"/>
    <w:rsid w:val="00424080"/>
    <w:rsid w:val="00424133"/>
    <w:rsid w:val="004243F3"/>
    <w:rsid w:val="00424D51"/>
    <w:rsid w:val="00425ACD"/>
    <w:rsid w:val="00425CF1"/>
    <w:rsid w:val="00426640"/>
    <w:rsid w:val="004267E0"/>
    <w:rsid w:val="0042704C"/>
    <w:rsid w:val="0043019A"/>
    <w:rsid w:val="004305A5"/>
    <w:rsid w:val="004306F1"/>
    <w:rsid w:val="00430F05"/>
    <w:rsid w:val="00430FB2"/>
    <w:rsid w:val="00431CC8"/>
    <w:rsid w:val="0043311A"/>
    <w:rsid w:val="00435E36"/>
    <w:rsid w:val="00442D0C"/>
    <w:rsid w:val="00443DA5"/>
    <w:rsid w:val="00444095"/>
    <w:rsid w:val="00444806"/>
    <w:rsid w:val="00445020"/>
    <w:rsid w:val="00445698"/>
    <w:rsid w:val="00445C13"/>
    <w:rsid w:val="00446E92"/>
    <w:rsid w:val="004520D2"/>
    <w:rsid w:val="00452626"/>
    <w:rsid w:val="00452638"/>
    <w:rsid w:val="00452952"/>
    <w:rsid w:val="00452BEE"/>
    <w:rsid w:val="00453417"/>
    <w:rsid w:val="004541F0"/>
    <w:rsid w:val="0045512C"/>
    <w:rsid w:val="004557B4"/>
    <w:rsid w:val="00455A39"/>
    <w:rsid w:val="00455DFD"/>
    <w:rsid w:val="00456215"/>
    <w:rsid w:val="004568F4"/>
    <w:rsid w:val="00456D9C"/>
    <w:rsid w:val="0045794D"/>
    <w:rsid w:val="0046134A"/>
    <w:rsid w:val="00461A86"/>
    <w:rsid w:val="00461C6B"/>
    <w:rsid w:val="00462694"/>
    <w:rsid w:val="0046289B"/>
    <w:rsid w:val="0046338D"/>
    <w:rsid w:val="0046339B"/>
    <w:rsid w:val="00464A4F"/>
    <w:rsid w:val="00464A50"/>
    <w:rsid w:val="00464E60"/>
    <w:rsid w:val="00465BA5"/>
    <w:rsid w:val="00466029"/>
    <w:rsid w:val="00466F51"/>
    <w:rsid w:val="004670A5"/>
    <w:rsid w:val="00467EDF"/>
    <w:rsid w:val="00470626"/>
    <w:rsid w:val="00470B99"/>
    <w:rsid w:val="00471477"/>
    <w:rsid w:val="00471728"/>
    <w:rsid w:val="00471845"/>
    <w:rsid w:val="0047219A"/>
    <w:rsid w:val="004724BA"/>
    <w:rsid w:val="004725D1"/>
    <w:rsid w:val="00472F16"/>
    <w:rsid w:val="00472F6B"/>
    <w:rsid w:val="00474390"/>
    <w:rsid w:val="00474465"/>
    <w:rsid w:val="00475299"/>
    <w:rsid w:val="00475815"/>
    <w:rsid w:val="00475FCF"/>
    <w:rsid w:val="00480666"/>
    <w:rsid w:val="00480675"/>
    <w:rsid w:val="00481405"/>
    <w:rsid w:val="004821C0"/>
    <w:rsid w:val="004827C8"/>
    <w:rsid w:val="00483FEE"/>
    <w:rsid w:val="00484A89"/>
    <w:rsid w:val="00486025"/>
    <w:rsid w:val="004877BC"/>
    <w:rsid w:val="00487D35"/>
    <w:rsid w:val="00490BAC"/>
    <w:rsid w:val="00491ABA"/>
    <w:rsid w:val="0049232A"/>
    <w:rsid w:val="0049397F"/>
    <w:rsid w:val="00494CB5"/>
    <w:rsid w:val="00495A9C"/>
    <w:rsid w:val="004972A7"/>
    <w:rsid w:val="0049756F"/>
    <w:rsid w:val="00497750"/>
    <w:rsid w:val="00497F00"/>
    <w:rsid w:val="004A1C3E"/>
    <w:rsid w:val="004A21B2"/>
    <w:rsid w:val="004A2B6A"/>
    <w:rsid w:val="004A3834"/>
    <w:rsid w:val="004A3DF1"/>
    <w:rsid w:val="004A50A1"/>
    <w:rsid w:val="004A6654"/>
    <w:rsid w:val="004A6978"/>
    <w:rsid w:val="004A6BCB"/>
    <w:rsid w:val="004B10B1"/>
    <w:rsid w:val="004B1532"/>
    <w:rsid w:val="004B3B2E"/>
    <w:rsid w:val="004B427A"/>
    <w:rsid w:val="004B4571"/>
    <w:rsid w:val="004B4803"/>
    <w:rsid w:val="004B5357"/>
    <w:rsid w:val="004B5366"/>
    <w:rsid w:val="004B5886"/>
    <w:rsid w:val="004B5A98"/>
    <w:rsid w:val="004B5A9C"/>
    <w:rsid w:val="004B6B15"/>
    <w:rsid w:val="004B7923"/>
    <w:rsid w:val="004B7EB8"/>
    <w:rsid w:val="004C1FA4"/>
    <w:rsid w:val="004C2615"/>
    <w:rsid w:val="004C29AD"/>
    <w:rsid w:val="004C5557"/>
    <w:rsid w:val="004C629F"/>
    <w:rsid w:val="004C637E"/>
    <w:rsid w:val="004C65E6"/>
    <w:rsid w:val="004C6DAD"/>
    <w:rsid w:val="004C7BD2"/>
    <w:rsid w:val="004D17C9"/>
    <w:rsid w:val="004D1F14"/>
    <w:rsid w:val="004D2076"/>
    <w:rsid w:val="004D242D"/>
    <w:rsid w:val="004D42F0"/>
    <w:rsid w:val="004D4C4E"/>
    <w:rsid w:val="004D6D9A"/>
    <w:rsid w:val="004D70CD"/>
    <w:rsid w:val="004D70E8"/>
    <w:rsid w:val="004E03AD"/>
    <w:rsid w:val="004E0472"/>
    <w:rsid w:val="004E0BD2"/>
    <w:rsid w:val="004E1949"/>
    <w:rsid w:val="004E2ECE"/>
    <w:rsid w:val="004E311D"/>
    <w:rsid w:val="004E4471"/>
    <w:rsid w:val="004E4838"/>
    <w:rsid w:val="004E4E9D"/>
    <w:rsid w:val="004E599F"/>
    <w:rsid w:val="004E61FE"/>
    <w:rsid w:val="004E63F2"/>
    <w:rsid w:val="004E7159"/>
    <w:rsid w:val="004E7457"/>
    <w:rsid w:val="004E75B0"/>
    <w:rsid w:val="004E7A08"/>
    <w:rsid w:val="004F0AED"/>
    <w:rsid w:val="004F0DCF"/>
    <w:rsid w:val="004F1F2C"/>
    <w:rsid w:val="004F3776"/>
    <w:rsid w:val="004F4AC4"/>
    <w:rsid w:val="004F6C10"/>
    <w:rsid w:val="00500870"/>
    <w:rsid w:val="005011F3"/>
    <w:rsid w:val="0050332B"/>
    <w:rsid w:val="00503538"/>
    <w:rsid w:val="005035E2"/>
    <w:rsid w:val="0050543F"/>
    <w:rsid w:val="00505973"/>
    <w:rsid w:val="005059B3"/>
    <w:rsid w:val="00505B92"/>
    <w:rsid w:val="005067DE"/>
    <w:rsid w:val="0051038B"/>
    <w:rsid w:val="00510890"/>
    <w:rsid w:val="00510B66"/>
    <w:rsid w:val="00510F18"/>
    <w:rsid w:val="00511C3F"/>
    <w:rsid w:val="00511D32"/>
    <w:rsid w:val="005155B9"/>
    <w:rsid w:val="005165C2"/>
    <w:rsid w:val="00516FB8"/>
    <w:rsid w:val="00520268"/>
    <w:rsid w:val="00520773"/>
    <w:rsid w:val="00520A47"/>
    <w:rsid w:val="005218BA"/>
    <w:rsid w:val="005228FB"/>
    <w:rsid w:val="00522E6D"/>
    <w:rsid w:val="005242C5"/>
    <w:rsid w:val="00525757"/>
    <w:rsid w:val="00527694"/>
    <w:rsid w:val="00530753"/>
    <w:rsid w:val="0053116A"/>
    <w:rsid w:val="0053156E"/>
    <w:rsid w:val="00533756"/>
    <w:rsid w:val="005353F1"/>
    <w:rsid w:val="00535FD4"/>
    <w:rsid w:val="00536635"/>
    <w:rsid w:val="005368DE"/>
    <w:rsid w:val="005370FA"/>
    <w:rsid w:val="005375A1"/>
    <w:rsid w:val="00537ED6"/>
    <w:rsid w:val="005400DA"/>
    <w:rsid w:val="0054064E"/>
    <w:rsid w:val="005416FA"/>
    <w:rsid w:val="005418AD"/>
    <w:rsid w:val="00541C71"/>
    <w:rsid w:val="00541E23"/>
    <w:rsid w:val="005433A5"/>
    <w:rsid w:val="00543E0D"/>
    <w:rsid w:val="00545428"/>
    <w:rsid w:val="005456E9"/>
    <w:rsid w:val="00545B2C"/>
    <w:rsid w:val="00546B5A"/>
    <w:rsid w:val="00547916"/>
    <w:rsid w:val="00547D3A"/>
    <w:rsid w:val="005507A8"/>
    <w:rsid w:val="005509A3"/>
    <w:rsid w:val="00550A33"/>
    <w:rsid w:val="0055435B"/>
    <w:rsid w:val="005546DB"/>
    <w:rsid w:val="00554CF6"/>
    <w:rsid w:val="00555570"/>
    <w:rsid w:val="005558D4"/>
    <w:rsid w:val="00556612"/>
    <w:rsid w:val="00556A2C"/>
    <w:rsid w:val="00556EEB"/>
    <w:rsid w:val="00557097"/>
    <w:rsid w:val="0055731C"/>
    <w:rsid w:val="00560BA6"/>
    <w:rsid w:val="00561883"/>
    <w:rsid w:val="00562423"/>
    <w:rsid w:val="0056247C"/>
    <w:rsid w:val="005628A6"/>
    <w:rsid w:val="00562CC6"/>
    <w:rsid w:val="00562DF2"/>
    <w:rsid w:val="00563652"/>
    <w:rsid w:val="00563783"/>
    <w:rsid w:val="00564F0B"/>
    <w:rsid w:val="00565A40"/>
    <w:rsid w:val="0056778C"/>
    <w:rsid w:val="005733A4"/>
    <w:rsid w:val="00573A2A"/>
    <w:rsid w:val="00573C2C"/>
    <w:rsid w:val="00573FB0"/>
    <w:rsid w:val="0057412E"/>
    <w:rsid w:val="0057445E"/>
    <w:rsid w:val="005748CE"/>
    <w:rsid w:val="00576D28"/>
    <w:rsid w:val="00577224"/>
    <w:rsid w:val="0058054F"/>
    <w:rsid w:val="00580FD6"/>
    <w:rsid w:val="00581AC9"/>
    <w:rsid w:val="005834F3"/>
    <w:rsid w:val="005838D8"/>
    <w:rsid w:val="005856DD"/>
    <w:rsid w:val="0058667A"/>
    <w:rsid w:val="00586951"/>
    <w:rsid w:val="00586AA0"/>
    <w:rsid w:val="00590E57"/>
    <w:rsid w:val="0059185A"/>
    <w:rsid w:val="00592310"/>
    <w:rsid w:val="005930C8"/>
    <w:rsid w:val="0059543E"/>
    <w:rsid w:val="00595993"/>
    <w:rsid w:val="00596D99"/>
    <w:rsid w:val="00597246"/>
    <w:rsid w:val="005A08A4"/>
    <w:rsid w:val="005A1055"/>
    <w:rsid w:val="005A14BB"/>
    <w:rsid w:val="005A14F8"/>
    <w:rsid w:val="005A25D3"/>
    <w:rsid w:val="005A278B"/>
    <w:rsid w:val="005A2962"/>
    <w:rsid w:val="005A2BDC"/>
    <w:rsid w:val="005A2C01"/>
    <w:rsid w:val="005A42C9"/>
    <w:rsid w:val="005A44C7"/>
    <w:rsid w:val="005A462F"/>
    <w:rsid w:val="005A4AA3"/>
    <w:rsid w:val="005B0C7C"/>
    <w:rsid w:val="005B1451"/>
    <w:rsid w:val="005B16D0"/>
    <w:rsid w:val="005B18E2"/>
    <w:rsid w:val="005B1C1F"/>
    <w:rsid w:val="005B1CA4"/>
    <w:rsid w:val="005B2146"/>
    <w:rsid w:val="005B2873"/>
    <w:rsid w:val="005B2A78"/>
    <w:rsid w:val="005B2F16"/>
    <w:rsid w:val="005B41B8"/>
    <w:rsid w:val="005B4CFF"/>
    <w:rsid w:val="005B55F7"/>
    <w:rsid w:val="005B6A1D"/>
    <w:rsid w:val="005B6D73"/>
    <w:rsid w:val="005C0462"/>
    <w:rsid w:val="005C11F0"/>
    <w:rsid w:val="005C1879"/>
    <w:rsid w:val="005C240E"/>
    <w:rsid w:val="005C26DC"/>
    <w:rsid w:val="005C427D"/>
    <w:rsid w:val="005C4D1C"/>
    <w:rsid w:val="005C519A"/>
    <w:rsid w:val="005C6EAA"/>
    <w:rsid w:val="005C7F7C"/>
    <w:rsid w:val="005D0501"/>
    <w:rsid w:val="005D10A7"/>
    <w:rsid w:val="005D17DB"/>
    <w:rsid w:val="005D18CF"/>
    <w:rsid w:val="005D19E2"/>
    <w:rsid w:val="005D1D80"/>
    <w:rsid w:val="005D2F86"/>
    <w:rsid w:val="005D4165"/>
    <w:rsid w:val="005D45C3"/>
    <w:rsid w:val="005D5AE7"/>
    <w:rsid w:val="005D5D4C"/>
    <w:rsid w:val="005D611B"/>
    <w:rsid w:val="005D6167"/>
    <w:rsid w:val="005D7015"/>
    <w:rsid w:val="005D7E71"/>
    <w:rsid w:val="005E12C7"/>
    <w:rsid w:val="005E135A"/>
    <w:rsid w:val="005E1A23"/>
    <w:rsid w:val="005E21DA"/>
    <w:rsid w:val="005E2844"/>
    <w:rsid w:val="005E2BB7"/>
    <w:rsid w:val="005E2FD3"/>
    <w:rsid w:val="005E3E57"/>
    <w:rsid w:val="005E47D7"/>
    <w:rsid w:val="005E490B"/>
    <w:rsid w:val="005E49AD"/>
    <w:rsid w:val="005E5CC7"/>
    <w:rsid w:val="005E7298"/>
    <w:rsid w:val="005E73B0"/>
    <w:rsid w:val="005E798C"/>
    <w:rsid w:val="005E7E39"/>
    <w:rsid w:val="005E7F8D"/>
    <w:rsid w:val="005F1AB9"/>
    <w:rsid w:val="005F1CC5"/>
    <w:rsid w:val="005F2DA6"/>
    <w:rsid w:val="005F4BF7"/>
    <w:rsid w:val="005F6A94"/>
    <w:rsid w:val="005F704A"/>
    <w:rsid w:val="005F7129"/>
    <w:rsid w:val="005F7E27"/>
    <w:rsid w:val="0060057B"/>
    <w:rsid w:val="00600DD2"/>
    <w:rsid w:val="0060140F"/>
    <w:rsid w:val="00601761"/>
    <w:rsid w:val="00601901"/>
    <w:rsid w:val="00601CD9"/>
    <w:rsid w:val="00602798"/>
    <w:rsid w:val="0060283B"/>
    <w:rsid w:val="006056AD"/>
    <w:rsid w:val="006067D5"/>
    <w:rsid w:val="006069B4"/>
    <w:rsid w:val="006076DD"/>
    <w:rsid w:val="006109B2"/>
    <w:rsid w:val="00611686"/>
    <w:rsid w:val="006126C3"/>
    <w:rsid w:val="00612976"/>
    <w:rsid w:val="00613CE2"/>
    <w:rsid w:val="00614BEF"/>
    <w:rsid w:val="00614CD8"/>
    <w:rsid w:val="006150D4"/>
    <w:rsid w:val="00615A84"/>
    <w:rsid w:val="00616029"/>
    <w:rsid w:val="00616AAC"/>
    <w:rsid w:val="006172B1"/>
    <w:rsid w:val="00617E80"/>
    <w:rsid w:val="00620D61"/>
    <w:rsid w:val="00622D1F"/>
    <w:rsid w:val="006249DC"/>
    <w:rsid w:val="00624EC4"/>
    <w:rsid w:val="0062546F"/>
    <w:rsid w:val="00626239"/>
    <w:rsid w:val="00626452"/>
    <w:rsid w:val="00626455"/>
    <w:rsid w:val="006267DE"/>
    <w:rsid w:val="006269D1"/>
    <w:rsid w:val="00627BFA"/>
    <w:rsid w:val="00630728"/>
    <w:rsid w:val="00630CE2"/>
    <w:rsid w:val="00630D5A"/>
    <w:rsid w:val="006312F4"/>
    <w:rsid w:val="00631684"/>
    <w:rsid w:val="00631EB5"/>
    <w:rsid w:val="0063319F"/>
    <w:rsid w:val="006346DD"/>
    <w:rsid w:val="006353A7"/>
    <w:rsid w:val="00635980"/>
    <w:rsid w:val="006359FD"/>
    <w:rsid w:val="00636E47"/>
    <w:rsid w:val="00636E66"/>
    <w:rsid w:val="006379B3"/>
    <w:rsid w:val="00637C0A"/>
    <w:rsid w:val="00640BDF"/>
    <w:rsid w:val="0064289D"/>
    <w:rsid w:val="0064420C"/>
    <w:rsid w:val="006445B3"/>
    <w:rsid w:val="0065072F"/>
    <w:rsid w:val="006507DB"/>
    <w:rsid w:val="00650E5A"/>
    <w:rsid w:val="006514A6"/>
    <w:rsid w:val="006518A5"/>
    <w:rsid w:val="00652086"/>
    <w:rsid w:val="006528AE"/>
    <w:rsid w:val="00653059"/>
    <w:rsid w:val="0065528E"/>
    <w:rsid w:val="00656706"/>
    <w:rsid w:val="00656E73"/>
    <w:rsid w:val="00657132"/>
    <w:rsid w:val="00662FCD"/>
    <w:rsid w:val="00663127"/>
    <w:rsid w:val="00663A0B"/>
    <w:rsid w:val="00663E15"/>
    <w:rsid w:val="00664195"/>
    <w:rsid w:val="006653D5"/>
    <w:rsid w:val="00666469"/>
    <w:rsid w:val="00666CE5"/>
    <w:rsid w:val="00666E6F"/>
    <w:rsid w:val="0067071F"/>
    <w:rsid w:val="006716AA"/>
    <w:rsid w:val="00671ADC"/>
    <w:rsid w:val="00671B91"/>
    <w:rsid w:val="00671D4E"/>
    <w:rsid w:val="00671D9E"/>
    <w:rsid w:val="006723EA"/>
    <w:rsid w:val="0067254F"/>
    <w:rsid w:val="00672C86"/>
    <w:rsid w:val="00673801"/>
    <w:rsid w:val="006761A5"/>
    <w:rsid w:val="00676E41"/>
    <w:rsid w:val="006773A5"/>
    <w:rsid w:val="006800C7"/>
    <w:rsid w:val="00680844"/>
    <w:rsid w:val="0068091A"/>
    <w:rsid w:val="0068146C"/>
    <w:rsid w:val="006815B6"/>
    <w:rsid w:val="0068164F"/>
    <w:rsid w:val="00681BD2"/>
    <w:rsid w:val="006824A1"/>
    <w:rsid w:val="00683500"/>
    <w:rsid w:val="00683A84"/>
    <w:rsid w:val="006849CC"/>
    <w:rsid w:val="00685564"/>
    <w:rsid w:val="00686F72"/>
    <w:rsid w:val="00687551"/>
    <w:rsid w:val="00690847"/>
    <w:rsid w:val="00690D7F"/>
    <w:rsid w:val="00694543"/>
    <w:rsid w:val="00695070"/>
    <w:rsid w:val="0069776E"/>
    <w:rsid w:val="006A0214"/>
    <w:rsid w:val="006A0904"/>
    <w:rsid w:val="006A1AD1"/>
    <w:rsid w:val="006A32C2"/>
    <w:rsid w:val="006A37CB"/>
    <w:rsid w:val="006A489A"/>
    <w:rsid w:val="006A6994"/>
    <w:rsid w:val="006B01ED"/>
    <w:rsid w:val="006B14BB"/>
    <w:rsid w:val="006B1574"/>
    <w:rsid w:val="006B4463"/>
    <w:rsid w:val="006B4676"/>
    <w:rsid w:val="006B55A5"/>
    <w:rsid w:val="006B566C"/>
    <w:rsid w:val="006B5FAA"/>
    <w:rsid w:val="006B6219"/>
    <w:rsid w:val="006B6580"/>
    <w:rsid w:val="006B7FC8"/>
    <w:rsid w:val="006C0B1C"/>
    <w:rsid w:val="006C18F7"/>
    <w:rsid w:val="006C1A4B"/>
    <w:rsid w:val="006C1E3A"/>
    <w:rsid w:val="006C27D3"/>
    <w:rsid w:val="006C3544"/>
    <w:rsid w:val="006C3564"/>
    <w:rsid w:val="006C46E0"/>
    <w:rsid w:val="006C4E50"/>
    <w:rsid w:val="006C7704"/>
    <w:rsid w:val="006C7E3F"/>
    <w:rsid w:val="006D0A21"/>
    <w:rsid w:val="006D0B85"/>
    <w:rsid w:val="006D19FF"/>
    <w:rsid w:val="006D201B"/>
    <w:rsid w:val="006D26A2"/>
    <w:rsid w:val="006D2990"/>
    <w:rsid w:val="006D45F3"/>
    <w:rsid w:val="006D484C"/>
    <w:rsid w:val="006D53AD"/>
    <w:rsid w:val="006D5D7E"/>
    <w:rsid w:val="006D5DDD"/>
    <w:rsid w:val="006E0847"/>
    <w:rsid w:val="006E0B77"/>
    <w:rsid w:val="006E1D91"/>
    <w:rsid w:val="006E23D0"/>
    <w:rsid w:val="006E45D9"/>
    <w:rsid w:val="006E59F8"/>
    <w:rsid w:val="006E6B09"/>
    <w:rsid w:val="006E73B7"/>
    <w:rsid w:val="006E787B"/>
    <w:rsid w:val="006F0404"/>
    <w:rsid w:val="006F1F57"/>
    <w:rsid w:val="006F28A6"/>
    <w:rsid w:val="006F3AF6"/>
    <w:rsid w:val="006F3DEE"/>
    <w:rsid w:val="006F50E2"/>
    <w:rsid w:val="006F5B49"/>
    <w:rsid w:val="006F5FF0"/>
    <w:rsid w:val="006F6025"/>
    <w:rsid w:val="0070056B"/>
    <w:rsid w:val="0070077C"/>
    <w:rsid w:val="00700A89"/>
    <w:rsid w:val="00700BD8"/>
    <w:rsid w:val="00702177"/>
    <w:rsid w:val="00702E3C"/>
    <w:rsid w:val="007062B1"/>
    <w:rsid w:val="007075E1"/>
    <w:rsid w:val="007100BA"/>
    <w:rsid w:val="00710D16"/>
    <w:rsid w:val="00710EE6"/>
    <w:rsid w:val="007112AD"/>
    <w:rsid w:val="00712D4B"/>
    <w:rsid w:val="00713411"/>
    <w:rsid w:val="00713D11"/>
    <w:rsid w:val="00715660"/>
    <w:rsid w:val="00715C71"/>
    <w:rsid w:val="0071672E"/>
    <w:rsid w:val="00716D43"/>
    <w:rsid w:val="0071716F"/>
    <w:rsid w:val="00717971"/>
    <w:rsid w:val="007206B2"/>
    <w:rsid w:val="0072070D"/>
    <w:rsid w:val="00720EC2"/>
    <w:rsid w:val="007247EA"/>
    <w:rsid w:val="00724DF8"/>
    <w:rsid w:val="00725121"/>
    <w:rsid w:val="00725707"/>
    <w:rsid w:val="007261ED"/>
    <w:rsid w:val="007304BF"/>
    <w:rsid w:val="00731824"/>
    <w:rsid w:val="00731863"/>
    <w:rsid w:val="007326A8"/>
    <w:rsid w:val="00732A6A"/>
    <w:rsid w:val="00733185"/>
    <w:rsid w:val="00733EA6"/>
    <w:rsid w:val="007346D3"/>
    <w:rsid w:val="00734845"/>
    <w:rsid w:val="00735A78"/>
    <w:rsid w:val="00735C54"/>
    <w:rsid w:val="00736BE0"/>
    <w:rsid w:val="007375FB"/>
    <w:rsid w:val="0074020E"/>
    <w:rsid w:val="007412BD"/>
    <w:rsid w:val="00741BF3"/>
    <w:rsid w:val="007427DB"/>
    <w:rsid w:val="0074285A"/>
    <w:rsid w:val="00742EC8"/>
    <w:rsid w:val="00742ECA"/>
    <w:rsid w:val="00743510"/>
    <w:rsid w:val="00744F5B"/>
    <w:rsid w:val="00745D58"/>
    <w:rsid w:val="00745FEA"/>
    <w:rsid w:val="007460DD"/>
    <w:rsid w:val="00746103"/>
    <w:rsid w:val="0074614C"/>
    <w:rsid w:val="00746926"/>
    <w:rsid w:val="00746A9D"/>
    <w:rsid w:val="00746F63"/>
    <w:rsid w:val="00750736"/>
    <w:rsid w:val="00750E63"/>
    <w:rsid w:val="00751927"/>
    <w:rsid w:val="00751DCB"/>
    <w:rsid w:val="007543E9"/>
    <w:rsid w:val="007546D2"/>
    <w:rsid w:val="00754D0C"/>
    <w:rsid w:val="00755F87"/>
    <w:rsid w:val="007568AC"/>
    <w:rsid w:val="007576C9"/>
    <w:rsid w:val="0075781D"/>
    <w:rsid w:val="007579C1"/>
    <w:rsid w:val="007603A9"/>
    <w:rsid w:val="00761AD4"/>
    <w:rsid w:val="00762135"/>
    <w:rsid w:val="00762C31"/>
    <w:rsid w:val="00763EA3"/>
    <w:rsid w:val="00764F86"/>
    <w:rsid w:val="00764FC3"/>
    <w:rsid w:val="007663EC"/>
    <w:rsid w:val="0076733B"/>
    <w:rsid w:val="00767EFB"/>
    <w:rsid w:val="00770270"/>
    <w:rsid w:val="00770A08"/>
    <w:rsid w:val="00770DCE"/>
    <w:rsid w:val="007710CD"/>
    <w:rsid w:val="00771F9F"/>
    <w:rsid w:val="007723BC"/>
    <w:rsid w:val="00772EFB"/>
    <w:rsid w:val="00772FCC"/>
    <w:rsid w:val="00773867"/>
    <w:rsid w:val="00773EA0"/>
    <w:rsid w:val="00775F9B"/>
    <w:rsid w:val="0077614C"/>
    <w:rsid w:val="00776661"/>
    <w:rsid w:val="007766B4"/>
    <w:rsid w:val="007768A0"/>
    <w:rsid w:val="00776EB9"/>
    <w:rsid w:val="00781275"/>
    <w:rsid w:val="00781B44"/>
    <w:rsid w:val="007832F1"/>
    <w:rsid w:val="00783823"/>
    <w:rsid w:val="00784FD8"/>
    <w:rsid w:val="0078532A"/>
    <w:rsid w:val="00785450"/>
    <w:rsid w:val="00786078"/>
    <w:rsid w:val="00787519"/>
    <w:rsid w:val="007901DE"/>
    <w:rsid w:val="0079020C"/>
    <w:rsid w:val="00790C65"/>
    <w:rsid w:val="0079175A"/>
    <w:rsid w:val="00793356"/>
    <w:rsid w:val="00793E6B"/>
    <w:rsid w:val="00794808"/>
    <w:rsid w:val="00794A1C"/>
    <w:rsid w:val="00794BD7"/>
    <w:rsid w:val="00797FA0"/>
    <w:rsid w:val="007A11B6"/>
    <w:rsid w:val="007A1354"/>
    <w:rsid w:val="007A1738"/>
    <w:rsid w:val="007A1799"/>
    <w:rsid w:val="007A2644"/>
    <w:rsid w:val="007A2786"/>
    <w:rsid w:val="007A29D4"/>
    <w:rsid w:val="007A2CD4"/>
    <w:rsid w:val="007A43D3"/>
    <w:rsid w:val="007A5043"/>
    <w:rsid w:val="007A5A23"/>
    <w:rsid w:val="007A5B63"/>
    <w:rsid w:val="007A615A"/>
    <w:rsid w:val="007A6702"/>
    <w:rsid w:val="007A6FBD"/>
    <w:rsid w:val="007A75CB"/>
    <w:rsid w:val="007B1276"/>
    <w:rsid w:val="007B14F1"/>
    <w:rsid w:val="007B18AF"/>
    <w:rsid w:val="007B2C4C"/>
    <w:rsid w:val="007B2DE7"/>
    <w:rsid w:val="007B32A2"/>
    <w:rsid w:val="007B36C1"/>
    <w:rsid w:val="007B48AE"/>
    <w:rsid w:val="007B4C3B"/>
    <w:rsid w:val="007B4F92"/>
    <w:rsid w:val="007C0564"/>
    <w:rsid w:val="007C124F"/>
    <w:rsid w:val="007C1CFE"/>
    <w:rsid w:val="007C1DA6"/>
    <w:rsid w:val="007C2313"/>
    <w:rsid w:val="007C2506"/>
    <w:rsid w:val="007C27F8"/>
    <w:rsid w:val="007C4212"/>
    <w:rsid w:val="007C449C"/>
    <w:rsid w:val="007C4FA0"/>
    <w:rsid w:val="007C5A34"/>
    <w:rsid w:val="007C5D91"/>
    <w:rsid w:val="007C616C"/>
    <w:rsid w:val="007C6990"/>
    <w:rsid w:val="007C6E9A"/>
    <w:rsid w:val="007C7146"/>
    <w:rsid w:val="007D148B"/>
    <w:rsid w:val="007D17EF"/>
    <w:rsid w:val="007D258A"/>
    <w:rsid w:val="007D2919"/>
    <w:rsid w:val="007D3EE6"/>
    <w:rsid w:val="007D4B6F"/>
    <w:rsid w:val="007D5A7F"/>
    <w:rsid w:val="007D5F19"/>
    <w:rsid w:val="007D75A8"/>
    <w:rsid w:val="007D7FA5"/>
    <w:rsid w:val="007E0C7E"/>
    <w:rsid w:val="007E28AB"/>
    <w:rsid w:val="007E28BD"/>
    <w:rsid w:val="007E4615"/>
    <w:rsid w:val="007E467D"/>
    <w:rsid w:val="007E46C0"/>
    <w:rsid w:val="007E46E0"/>
    <w:rsid w:val="007E4AB8"/>
    <w:rsid w:val="007E646D"/>
    <w:rsid w:val="007E682B"/>
    <w:rsid w:val="007E6E72"/>
    <w:rsid w:val="007E7281"/>
    <w:rsid w:val="007E7617"/>
    <w:rsid w:val="007F00E6"/>
    <w:rsid w:val="007F015B"/>
    <w:rsid w:val="007F147B"/>
    <w:rsid w:val="007F1956"/>
    <w:rsid w:val="007F1AAA"/>
    <w:rsid w:val="007F1F65"/>
    <w:rsid w:val="007F2853"/>
    <w:rsid w:val="007F3410"/>
    <w:rsid w:val="007F3CCE"/>
    <w:rsid w:val="007F5534"/>
    <w:rsid w:val="007F5E42"/>
    <w:rsid w:val="007F6675"/>
    <w:rsid w:val="007F6ED1"/>
    <w:rsid w:val="007F7EB6"/>
    <w:rsid w:val="00800FC2"/>
    <w:rsid w:val="008012B6"/>
    <w:rsid w:val="00801815"/>
    <w:rsid w:val="00801CA0"/>
    <w:rsid w:val="00802C99"/>
    <w:rsid w:val="00802DB3"/>
    <w:rsid w:val="0080327E"/>
    <w:rsid w:val="0080544A"/>
    <w:rsid w:val="008055A3"/>
    <w:rsid w:val="0080576C"/>
    <w:rsid w:val="00805DAD"/>
    <w:rsid w:val="008108DE"/>
    <w:rsid w:val="00811392"/>
    <w:rsid w:val="008113F5"/>
    <w:rsid w:val="00811791"/>
    <w:rsid w:val="00811E6D"/>
    <w:rsid w:val="00812541"/>
    <w:rsid w:val="0081404D"/>
    <w:rsid w:val="00814D9F"/>
    <w:rsid w:val="008157FA"/>
    <w:rsid w:val="00815915"/>
    <w:rsid w:val="008163C4"/>
    <w:rsid w:val="0081718C"/>
    <w:rsid w:val="008171F3"/>
    <w:rsid w:val="00817908"/>
    <w:rsid w:val="00820A28"/>
    <w:rsid w:val="00820CC0"/>
    <w:rsid w:val="00821CE7"/>
    <w:rsid w:val="008227DC"/>
    <w:rsid w:val="008236AA"/>
    <w:rsid w:val="0082567F"/>
    <w:rsid w:val="00825CD3"/>
    <w:rsid w:val="00826A0B"/>
    <w:rsid w:val="00827085"/>
    <w:rsid w:val="00830820"/>
    <w:rsid w:val="0083300B"/>
    <w:rsid w:val="00833EDA"/>
    <w:rsid w:val="00834288"/>
    <w:rsid w:val="00834C6C"/>
    <w:rsid w:val="00835815"/>
    <w:rsid w:val="00835E75"/>
    <w:rsid w:val="008362F1"/>
    <w:rsid w:val="00836B0C"/>
    <w:rsid w:val="008373CF"/>
    <w:rsid w:val="00837495"/>
    <w:rsid w:val="00840A46"/>
    <w:rsid w:val="00840AB1"/>
    <w:rsid w:val="00842929"/>
    <w:rsid w:val="008447B1"/>
    <w:rsid w:val="00844898"/>
    <w:rsid w:val="00845AEF"/>
    <w:rsid w:val="00845E0C"/>
    <w:rsid w:val="0084695A"/>
    <w:rsid w:val="00847D27"/>
    <w:rsid w:val="00850635"/>
    <w:rsid w:val="00850C47"/>
    <w:rsid w:val="0085110C"/>
    <w:rsid w:val="00852495"/>
    <w:rsid w:val="00854D43"/>
    <w:rsid w:val="00855B07"/>
    <w:rsid w:val="008601F7"/>
    <w:rsid w:val="00860D81"/>
    <w:rsid w:val="008613B9"/>
    <w:rsid w:val="00861A66"/>
    <w:rsid w:val="00861E7F"/>
    <w:rsid w:val="00862EFA"/>
    <w:rsid w:val="0086337F"/>
    <w:rsid w:val="008654D0"/>
    <w:rsid w:val="00865856"/>
    <w:rsid w:val="00865A9F"/>
    <w:rsid w:val="00865D1E"/>
    <w:rsid w:val="00866957"/>
    <w:rsid w:val="00867154"/>
    <w:rsid w:val="00867169"/>
    <w:rsid w:val="0086737A"/>
    <w:rsid w:val="00867381"/>
    <w:rsid w:val="008720F7"/>
    <w:rsid w:val="00872185"/>
    <w:rsid w:val="00872752"/>
    <w:rsid w:val="00873C7B"/>
    <w:rsid w:val="008746DE"/>
    <w:rsid w:val="00874ADC"/>
    <w:rsid w:val="008831C8"/>
    <w:rsid w:val="00884DC2"/>
    <w:rsid w:val="008868A8"/>
    <w:rsid w:val="008874B4"/>
    <w:rsid w:val="008909E5"/>
    <w:rsid w:val="008909F9"/>
    <w:rsid w:val="00890F02"/>
    <w:rsid w:val="00891D95"/>
    <w:rsid w:val="00892BCA"/>
    <w:rsid w:val="00893244"/>
    <w:rsid w:val="00895565"/>
    <w:rsid w:val="00897768"/>
    <w:rsid w:val="008A0353"/>
    <w:rsid w:val="008A0A61"/>
    <w:rsid w:val="008A3B36"/>
    <w:rsid w:val="008A3BDD"/>
    <w:rsid w:val="008A3E90"/>
    <w:rsid w:val="008A443B"/>
    <w:rsid w:val="008A4D82"/>
    <w:rsid w:val="008A4E89"/>
    <w:rsid w:val="008A51A4"/>
    <w:rsid w:val="008A5575"/>
    <w:rsid w:val="008A5987"/>
    <w:rsid w:val="008A5F5E"/>
    <w:rsid w:val="008B0506"/>
    <w:rsid w:val="008B0D74"/>
    <w:rsid w:val="008B1EAE"/>
    <w:rsid w:val="008B1FA2"/>
    <w:rsid w:val="008B2D81"/>
    <w:rsid w:val="008B39E5"/>
    <w:rsid w:val="008B43F0"/>
    <w:rsid w:val="008B64F0"/>
    <w:rsid w:val="008B6E41"/>
    <w:rsid w:val="008B70AA"/>
    <w:rsid w:val="008B72EE"/>
    <w:rsid w:val="008B7ED1"/>
    <w:rsid w:val="008B7F14"/>
    <w:rsid w:val="008C01B9"/>
    <w:rsid w:val="008C0618"/>
    <w:rsid w:val="008C0691"/>
    <w:rsid w:val="008C1019"/>
    <w:rsid w:val="008C16A4"/>
    <w:rsid w:val="008C1965"/>
    <w:rsid w:val="008C22C3"/>
    <w:rsid w:val="008C2A2C"/>
    <w:rsid w:val="008C3268"/>
    <w:rsid w:val="008C42BE"/>
    <w:rsid w:val="008C5487"/>
    <w:rsid w:val="008C60F2"/>
    <w:rsid w:val="008C7A85"/>
    <w:rsid w:val="008D35CF"/>
    <w:rsid w:val="008D369C"/>
    <w:rsid w:val="008D4443"/>
    <w:rsid w:val="008D51F5"/>
    <w:rsid w:val="008D61A0"/>
    <w:rsid w:val="008D7299"/>
    <w:rsid w:val="008D7D9F"/>
    <w:rsid w:val="008D7F28"/>
    <w:rsid w:val="008E0317"/>
    <w:rsid w:val="008E0E71"/>
    <w:rsid w:val="008E1170"/>
    <w:rsid w:val="008E16E3"/>
    <w:rsid w:val="008E1D1B"/>
    <w:rsid w:val="008E31A8"/>
    <w:rsid w:val="008E533C"/>
    <w:rsid w:val="008E5AED"/>
    <w:rsid w:val="008E6F58"/>
    <w:rsid w:val="008E7476"/>
    <w:rsid w:val="008E748B"/>
    <w:rsid w:val="008E7BBA"/>
    <w:rsid w:val="008F108D"/>
    <w:rsid w:val="008F2EC9"/>
    <w:rsid w:val="008F35EE"/>
    <w:rsid w:val="008F41F9"/>
    <w:rsid w:val="008F5BC7"/>
    <w:rsid w:val="008F6502"/>
    <w:rsid w:val="008F70F2"/>
    <w:rsid w:val="008F75E5"/>
    <w:rsid w:val="009005A6"/>
    <w:rsid w:val="009020EA"/>
    <w:rsid w:val="009027C0"/>
    <w:rsid w:val="00903E19"/>
    <w:rsid w:val="00903F07"/>
    <w:rsid w:val="0090503F"/>
    <w:rsid w:val="00905557"/>
    <w:rsid w:val="00905752"/>
    <w:rsid w:val="00905BA3"/>
    <w:rsid w:val="00905C9A"/>
    <w:rsid w:val="00906789"/>
    <w:rsid w:val="00907667"/>
    <w:rsid w:val="00910649"/>
    <w:rsid w:val="00911F0B"/>
    <w:rsid w:val="0091279E"/>
    <w:rsid w:val="0091687B"/>
    <w:rsid w:val="00917A1E"/>
    <w:rsid w:val="00922DED"/>
    <w:rsid w:val="009237DE"/>
    <w:rsid w:val="00924340"/>
    <w:rsid w:val="00925063"/>
    <w:rsid w:val="00925F9C"/>
    <w:rsid w:val="0092674D"/>
    <w:rsid w:val="009271CD"/>
    <w:rsid w:val="009272F1"/>
    <w:rsid w:val="00927660"/>
    <w:rsid w:val="00927F3C"/>
    <w:rsid w:val="00931493"/>
    <w:rsid w:val="009316B5"/>
    <w:rsid w:val="00934491"/>
    <w:rsid w:val="009344B9"/>
    <w:rsid w:val="00934E64"/>
    <w:rsid w:val="00935521"/>
    <w:rsid w:val="009356E6"/>
    <w:rsid w:val="009363C8"/>
    <w:rsid w:val="00937DCB"/>
    <w:rsid w:val="00940571"/>
    <w:rsid w:val="009409D8"/>
    <w:rsid w:val="00941542"/>
    <w:rsid w:val="00941D42"/>
    <w:rsid w:val="0094232F"/>
    <w:rsid w:val="00942ABC"/>
    <w:rsid w:val="00942AF0"/>
    <w:rsid w:val="00944A36"/>
    <w:rsid w:val="009458FF"/>
    <w:rsid w:val="00945BCC"/>
    <w:rsid w:val="00945C62"/>
    <w:rsid w:val="00946706"/>
    <w:rsid w:val="009467AC"/>
    <w:rsid w:val="009511A9"/>
    <w:rsid w:val="00951250"/>
    <w:rsid w:val="0095274E"/>
    <w:rsid w:val="0095744D"/>
    <w:rsid w:val="009574AF"/>
    <w:rsid w:val="00957602"/>
    <w:rsid w:val="00960A49"/>
    <w:rsid w:val="00961AA1"/>
    <w:rsid w:val="00961AD4"/>
    <w:rsid w:val="00963F16"/>
    <w:rsid w:val="00964742"/>
    <w:rsid w:val="0096562E"/>
    <w:rsid w:val="00966374"/>
    <w:rsid w:val="0096695B"/>
    <w:rsid w:val="009673AB"/>
    <w:rsid w:val="0096758E"/>
    <w:rsid w:val="00970044"/>
    <w:rsid w:val="009716EF"/>
    <w:rsid w:val="0097277D"/>
    <w:rsid w:val="0097332D"/>
    <w:rsid w:val="00973CF6"/>
    <w:rsid w:val="00973F84"/>
    <w:rsid w:val="00975EC0"/>
    <w:rsid w:val="00976445"/>
    <w:rsid w:val="00976606"/>
    <w:rsid w:val="00977A7F"/>
    <w:rsid w:val="00977C08"/>
    <w:rsid w:val="00980A89"/>
    <w:rsid w:val="009813E1"/>
    <w:rsid w:val="009824BF"/>
    <w:rsid w:val="00983389"/>
    <w:rsid w:val="00984C91"/>
    <w:rsid w:val="00984F18"/>
    <w:rsid w:val="00985264"/>
    <w:rsid w:val="0098648B"/>
    <w:rsid w:val="009864D6"/>
    <w:rsid w:val="00986564"/>
    <w:rsid w:val="00986ABB"/>
    <w:rsid w:val="00986ADA"/>
    <w:rsid w:val="00986E59"/>
    <w:rsid w:val="00987660"/>
    <w:rsid w:val="009902CF"/>
    <w:rsid w:val="009902ED"/>
    <w:rsid w:val="0099086D"/>
    <w:rsid w:val="0099386E"/>
    <w:rsid w:val="009943A4"/>
    <w:rsid w:val="009943DC"/>
    <w:rsid w:val="00995850"/>
    <w:rsid w:val="0099751A"/>
    <w:rsid w:val="009979D0"/>
    <w:rsid w:val="009A267B"/>
    <w:rsid w:val="009A2D49"/>
    <w:rsid w:val="009A38AA"/>
    <w:rsid w:val="009A498D"/>
    <w:rsid w:val="009A49F4"/>
    <w:rsid w:val="009A4CB9"/>
    <w:rsid w:val="009A594E"/>
    <w:rsid w:val="009A638F"/>
    <w:rsid w:val="009A698E"/>
    <w:rsid w:val="009B04BA"/>
    <w:rsid w:val="009B0A3A"/>
    <w:rsid w:val="009B0FF3"/>
    <w:rsid w:val="009B20F7"/>
    <w:rsid w:val="009B3371"/>
    <w:rsid w:val="009B3E81"/>
    <w:rsid w:val="009B4025"/>
    <w:rsid w:val="009B5986"/>
    <w:rsid w:val="009B67DA"/>
    <w:rsid w:val="009B7209"/>
    <w:rsid w:val="009B7375"/>
    <w:rsid w:val="009B779D"/>
    <w:rsid w:val="009B78C7"/>
    <w:rsid w:val="009B7B1E"/>
    <w:rsid w:val="009C0832"/>
    <w:rsid w:val="009C0AFC"/>
    <w:rsid w:val="009C0D3C"/>
    <w:rsid w:val="009C1AB3"/>
    <w:rsid w:val="009C34EC"/>
    <w:rsid w:val="009C3EEA"/>
    <w:rsid w:val="009C480C"/>
    <w:rsid w:val="009C48B9"/>
    <w:rsid w:val="009C4D17"/>
    <w:rsid w:val="009C53FC"/>
    <w:rsid w:val="009C54BC"/>
    <w:rsid w:val="009C5777"/>
    <w:rsid w:val="009C6A57"/>
    <w:rsid w:val="009C78CA"/>
    <w:rsid w:val="009D0E41"/>
    <w:rsid w:val="009D1198"/>
    <w:rsid w:val="009D2017"/>
    <w:rsid w:val="009D372D"/>
    <w:rsid w:val="009D3D4E"/>
    <w:rsid w:val="009D421F"/>
    <w:rsid w:val="009D4F07"/>
    <w:rsid w:val="009D5166"/>
    <w:rsid w:val="009D53EB"/>
    <w:rsid w:val="009D6D19"/>
    <w:rsid w:val="009E037C"/>
    <w:rsid w:val="009E1A1F"/>
    <w:rsid w:val="009E1D4E"/>
    <w:rsid w:val="009E2BBE"/>
    <w:rsid w:val="009E4EB3"/>
    <w:rsid w:val="009E500A"/>
    <w:rsid w:val="009E5FB6"/>
    <w:rsid w:val="009E6069"/>
    <w:rsid w:val="009E6D88"/>
    <w:rsid w:val="009E7E29"/>
    <w:rsid w:val="009E7F2C"/>
    <w:rsid w:val="009F026A"/>
    <w:rsid w:val="009F09A7"/>
    <w:rsid w:val="009F105C"/>
    <w:rsid w:val="009F2024"/>
    <w:rsid w:val="009F2A88"/>
    <w:rsid w:val="009F2E46"/>
    <w:rsid w:val="009F3320"/>
    <w:rsid w:val="009F3DF9"/>
    <w:rsid w:val="009F43D0"/>
    <w:rsid w:val="009F724F"/>
    <w:rsid w:val="009F736B"/>
    <w:rsid w:val="00A00396"/>
    <w:rsid w:val="00A00D34"/>
    <w:rsid w:val="00A0181F"/>
    <w:rsid w:val="00A052B7"/>
    <w:rsid w:val="00A057C3"/>
    <w:rsid w:val="00A06EBE"/>
    <w:rsid w:val="00A07022"/>
    <w:rsid w:val="00A076E0"/>
    <w:rsid w:val="00A10705"/>
    <w:rsid w:val="00A10764"/>
    <w:rsid w:val="00A119F8"/>
    <w:rsid w:val="00A1229F"/>
    <w:rsid w:val="00A12C1D"/>
    <w:rsid w:val="00A12E9A"/>
    <w:rsid w:val="00A13344"/>
    <w:rsid w:val="00A135AC"/>
    <w:rsid w:val="00A13C66"/>
    <w:rsid w:val="00A13F87"/>
    <w:rsid w:val="00A15237"/>
    <w:rsid w:val="00A152DA"/>
    <w:rsid w:val="00A15434"/>
    <w:rsid w:val="00A1570A"/>
    <w:rsid w:val="00A1600A"/>
    <w:rsid w:val="00A16410"/>
    <w:rsid w:val="00A17DE1"/>
    <w:rsid w:val="00A20890"/>
    <w:rsid w:val="00A20FDE"/>
    <w:rsid w:val="00A214A4"/>
    <w:rsid w:val="00A21C28"/>
    <w:rsid w:val="00A22970"/>
    <w:rsid w:val="00A22CA3"/>
    <w:rsid w:val="00A232CE"/>
    <w:rsid w:val="00A2343E"/>
    <w:rsid w:val="00A24D78"/>
    <w:rsid w:val="00A24ECB"/>
    <w:rsid w:val="00A27AB0"/>
    <w:rsid w:val="00A27D1A"/>
    <w:rsid w:val="00A30648"/>
    <w:rsid w:val="00A318B9"/>
    <w:rsid w:val="00A32EA1"/>
    <w:rsid w:val="00A34A24"/>
    <w:rsid w:val="00A34C8E"/>
    <w:rsid w:val="00A360C9"/>
    <w:rsid w:val="00A36E28"/>
    <w:rsid w:val="00A373D2"/>
    <w:rsid w:val="00A37729"/>
    <w:rsid w:val="00A40339"/>
    <w:rsid w:val="00A40364"/>
    <w:rsid w:val="00A408FC"/>
    <w:rsid w:val="00A40C63"/>
    <w:rsid w:val="00A40ECF"/>
    <w:rsid w:val="00A4174E"/>
    <w:rsid w:val="00A42C88"/>
    <w:rsid w:val="00A449C3"/>
    <w:rsid w:val="00A45388"/>
    <w:rsid w:val="00A47456"/>
    <w:rsid w:val="00A50649"/>
    <w:rsid w:val="00A520CA"/>
    <w:rsid w:val="00A523B0"/>
    <w:rsid w:val="00A536BF"/>
    <w:rsid w:val="00A55D32"/>
    <w:rsid w:val="00A57D1D"/>
    <w:rsid w:val="00A606E6"/>
    <w:rsid w:val="00A609E5"/>
    <w:rsid w:val="00A6122C"/>
    <w:rsid w:val="00A61B78"/>
    <w:rsid w:val="00A621C9"/>
    <w:rsid w:val="00A62E3F"/>
    <w:rsid w:val="00A63E0C"/>
    <w:rsid w:val="00A64086"/>
    <w:rsid w:val="00A654C0"/>
    <w:rsid w:val="00A658FB"/>
    <w:rsid w:val="00A67741"/>
    <w:rsid w:val="00A70773"/>
    <w:rsid w:val="00A71740"/>
    <w:rsid w:val="00A717FC"/>
    <w:rsid w:val="00A7194A"/>
    <w:rsid w:val="00A72610"/>
    <w:rsid w:val="00A73008"/>
    <w:rsid w:val="00A7383D"/>
    <w:rsid w:val="00A73895"/>
    <w:rsid w:val="00A73F02"/>
    <w:rsid w:val="00A7458A"/>
    <w:rsid w:val="00A75865"/>
    <w:rsid w:val="00A77F0C"/>
    <w:rsid w:val="00A8092C"/>
    <w:rsid w:val="00A815C0"/>
    <w:rsid w:val="00A8169B"/>
    <w:rsid w:val="00A821E2"/>
    <w:rsid w:val="00A82213"/>
    <w:rsid w:val="00A82BEB"/>
    <w:rsid w:val="00A84B1C"/>
    <w:rsid w:val="00A84E28"/>
    <w:rsid w:val="00A850FE"/>
    <w:rsid w:val="00A85250"/>
    <w:rsid w:val="00A85BDA"/>
    <w:rsid w:val="00A86515"/>
    <w:rsid w:val="00A86FC3"/>
    <w:rsid w:val="00A8772E"/>
    <w:rsid w:val="00A90C7C"/>
    <w:rsid w:val="00A91A5C"/>
    <w:rsid w:val="00A93187"/>
    <w:rsid w:val="00A9330F"/>
    <w:rsid w:val="00A9357E"/>
    <w:rsid w:val="00A943E2"/>
    <w:rsid w:val="00A9547D"/>
    <w:rsid w:val="00A95DC7"/>
    <w:rsid w:val="00A96BFF"/>
    <w:rsid w:val="00A96DD6"/>
    <w:rsid w:val="00AA127D"/>
    <w:rsid w:val="00AA1C21"/>
    <w:rsid w:val="00AA322F"/>
    <w:rsid w:val="00AA3B93"/>
    <w:rsid w:val="00AA5CFE"/>
    <w:rsid w:val="00AA6B48"/>
    <w:rsid w:val="00AA6E30"/>
    <w:rsid w:val="00AB0772"/>
    <w:rsid w:val="00AB0816"/>
    <w:rsid w:val="00AB0C13"/>
    <w:rsid w:val="00AB186C"/>
    <w:rsid w:val="00AB1B73"/>
    <w:rsid w:val="00AB3DFB"/>
    <w:rsid w:val="00AB4CD3"/>
    <w:rsid w:val="00AB4F52"/>
    <w:rsid w:val="00AB5326"/>
    <w:rsid w:val="00AB6858"/>
    <w:rsid w:val="00AC07CD"/>
    <w:rsid w:val="00AC0E6F"/>
    <w:rsid w:val="00AC13B0"/>
    <w:rsid w:val="00AC14AD"/>
    <w:rsid w:val="00AC1CF9"/>
    <w:rsid w:val="00AC1D0C"/>
    <w:rsid w:val="00AC1F6A"/>
    <w:rsid w:val="00AC4074"/>
    <w:rsid w:val="00AC57AA"/>
    <w:rsid w:val="00AC5B9D"/>
    <w:rsid w:val="00AC5F13"/>
    <w:rsid w:val="00AC613D"/>
    <w:rsid w:val="00AC68B5"/>
    <w:rsid w:val="00AC7480"/>
    <w:rsid w:val="00AC7BE5"/>
    <w:rsid w:val="00AD03B0"/>
    <w:rsid w:val="00AD21DF"/>
    <w:rsid w:val="00AD28CB"/>
    <w:rsid w:val="00AD297A"/>
    <w:rsid w:val="00AD3D13"/>
    <w:rsid w:val="00AD55C6"/>
    <w:rsid w:val="00AD5E4A"/>
    <w:rsid w:val="00AD627E"/>
    <w:rsid w:val="00AD65E2"/>
    <w:rsid w:val="00AE0199"/>
    <w:rsid w:val="00AE0D29"/>
    <w:rsid w:val="00AE2646"/>
    <w:rsid w:val="00AE4172"/>
    <w:rsid w:val="00AE41A6"/>
    <w:rsid w:val="00AE4579"/>
    <w:rsid w:val="00AE4E05"/>
    <w:rsid w:val="00AE5A7A"/>
    <w:rsid w:val="00AE7F67"/>
    <w:rsid w:val="00AF181C"/>
    <w:rsid w:val="00AF26D6"/>
    <w:rsid w:val="00AF2700"/>
    <w:rsid w:val="00AF3695"/>
    <w:rsid w:val="00AF5558"/>
    <w:rsid w:val="00AF5973"/>
    <w:rsid w:val="00AF61E6"/>
    <w:rsid w:val="00AF6D1B"/>
    <w:rsid w:val="00AF6D49"/>
    <w:rsid w:val="00AF7092"/>
    <w:rsid w:val="00AF7D2A"/>
    <w:rsid w:val="00B01585"/>
    <w:rsid w:val="00B02141"/>
    <w:rsid w:val="00B02A14"/>
    <w:rsid w:val="00B02D72"/>
    <w:rsid w:val="00B02EC5"/>
    <w:rsid w:val="00B02F67"/>
    <w:rsid w:val="00B03A7F"/>
    <w:rsid w:val="00B03AFE"/>
    <w:rsid w:val="00B040B7"/>
    <w:rsid w:val="00B04293"/>
    <w:rsid w:val="00B042B2"/>
    <w:rsid w:val="00B043D8"/>
    <w:rsid w:val="00B04A8E"/>
    <w:rsid w:val="00B06C14"/>
    <w:rsid w:val="00B10215"/>
    <w:rsid w:val="00B119CA"/>
    <w:rsid w:val="00B11BCF"/>
    <w:rsid w:val="00B12949"/>
    <w:rsid w:val="00B13039"/>
    <w:rsid w:val="00B13C8C"/>
    <w:rsid w:val="00B14184"/>
    <w:rsid w:val="00B14CD2"/>
    <w:rsid w:val="00B16EDC"/>
    <w:rsid w:val="00B17484"/>
    <w:rsid w:val="00B1749B"/>
    <w:rsid w:val="00B23313"/>
    <w:rsid w:val="00B239A7"/>
    <w:rsid w:val="00B23F94"/>
    <w:rsid w:val="00B26D15"/>
    <w:rsid w:val="00B3023C"/>
    <w:rsid w:val="00B30CA0"/>
    <w:rsid w:val="00B321AE"/>
    <w:rsid w:val="00B33ADA"/>
    <w:rsid w:val="00B34226"/>
    <w:rsid w:val="00B346D6"/>
    <w:rsid w:val="00B35857"/>
    <w:rsid w:val="00B36D26"/>
    <w:rsid w:val="00B37A84"/>
    <w:rsid w:val="00B37D1F"/>
    <w:rsid w:val="00B412C4"/>
    <w:rsid w:val="00B419B8"/>
    <w:rsid w:val="00B422CD"/>
    <w:rsid w:val="00B4380F"/>
    <w:rsid w:val="00B44B0D"/>
    <w:rsid w:val="00B45767"/>
    <w:rsid w:val="00B469E0"/>
    <w:rsid w:val="00B4713B"/>
    <w:rsid w:val="00B50AAB"/>
    <w:rsid w:val="00B5164E"/>
    <w:rsid w:val="00B527B2"/>
    <w:rsid w:val="00B52E8C"/>
    <w:rsid w:val="00B53B0B"/>
    <w:rsid w:val="00B54091"/>
    <w:rsid w:val="00B55A40"/>
    <w:rsid w:val="00B56AE7"/>
    <w:rsid w:val="00B57587"/>
    <w:rsid w:val="00B576CE"/>
    <w:rsid w:val="00B57B00"/>
    <w:rsid w:val="00B60486"/>
    <w:rsid w:val="00B61CE2"/>
    <w:rsid w:val="00B63167"/>
    <w:rsid w:val="00B63572"/>
    <w:rsid w:val="00B639A7"/>
    <w:rsid w:val="00B63E0C"/>
    <w:rsid w:val="00B63EF3"/>
    <w:rsid w:val="00B64FCA"/>
    <w:rsid w:val="00B655AB"/>
    <w:rsid w:val="00B65ED3"/>
    <w:rsid w:val="00B65F03"/>
    <w:rsid w:val="00B66903"/>
    <w:rsid w:val="00B66F61"/>
    <w:rsid w:val="00B70B2F"/>
    <w:rsid w:val="00B72124"/>
    <w:rsid w:val="00B724CB"/>
    <w:rsid w:val="00B724E3"/>
    <w:rsid w:val="00B72D02"/>
    <w:rsid w:val="00B743A3"/>
    <w:rsid w:val="00B743F9"/>
    <w:rsid w:val="00B74DAB"/>
    <w:rsid w:val="00B75474"/>
    <w:rsid w:val="00B774EF"/>
    <w:rsid w:val="00B77D85"/>
    <w:rsid w:val="00B81B59"/>
    <w:rsid w:val="00B825D4"/>
    <w:rsid w:val="00B83184"/>
    <w:rsid w:val="00B8346B"/>
    <w:rsid w:val="00B85638"/>
    <w:rsid w:val="00B85E0D"/>
    <w:rsid w:val="00B85F48"/>
    <w:rsid w:val="00B86921"/>
    <w:rsid w:val="00B87AA7"/>
    <w:rsid w:val="00B92681"/>
    <w:rsid w:val="00B927D2"/>
    <w:rsid w:val="00B92D89"/>
    <w:rsid w:val="00B9302F"/>
    <w:rsid w:val="00B9314A"/>
    <w:rsid w:val="00B937EE"/>
    <w:rsid w:val="00B95EAE"/>
    <w:rsid w:val="00B96B92"/>
    <w:rsid w:val="00B96D3E"/>
    <w:rsid w:val="00BA0375"/>
    <w:rsid w:val="00BA1553"/>
    <w:rsid w:val="00BA3953"/>
    <w:rsid w:val="00BA4BF9"/>
    <w:rsid w:val="00BA4D7E"/>
    <w:rsid w:val="00BA564E"/>
    <w:rsid w:val="00BA6ABD"/>
    <w:rsid w:val="00BA7100"/>
    <w:rsid w:val="00BA7294"/>
    <w:rsid w:val="00BA7DCE"/>
    <w:rsid w:val="00BB0443"/>
    <w:rsid w:val="00BB0972"/>
    <w:rsid w:val="00BB1A60"/>
    <w:rsid w:val="00BB1EF6"/>
    <w:rsid w:val="00BB2714"/>
    <w:rsid w:val="00BB30FF"/>
    <w:rsid w:val="00BB3D34"/>
    <w:rsid w:val="00BB3E8D"/>
    <w:rsid w:val="00BB5119"/>
    <w:rsid w:val="00BB5890"/>
    <w:rsid w:val="00BB59AE"/>
    <w:rsid w:val="00BB6F9D"/>
    <w:rsid w:val="00BB73FD"/>
    <w:rsid w:val="00BB7524"/>
    <w:rsid w:val="00BC0A36"/>
    <w:rsid w:val="00BC2497"/>
    <w:rsid w:val="00BC3624"/>
    <w:rsid w:val="00BC381C"/>
    <w:rsid w:val="00BC4FD4"/>
    <w:rsid w:val="00BC5B66"/>
    <w:rsid w:val="00BD01BE"/>
    <w:rsid w:val="00BD1A01"/>
    <w:rsid w:val="00BD2653"/>
    <w:rsid w:val="00BD36ED"/>
    <w:rsid w:val="00BD4337"/>
    <w:rsid w:val="00BD4D4F"/>
    <w:rsid w:val="00BD5F29"/>
    <w:rsid w:val="00BD6635"/>
    <w:rsid w:val="00BD684D"/>
    <w:rsid w:val="00BD6D20"/>
    <w:rsid w:val="00BD6D8E"/>
    <w:rsid w:val="00BD7829"/>
    <w:rsid w:val="00BE032B"/>
    <w:rsid w:val="00BE0737"/>
    <w:rsid w:val="00BE0D6B"/>
    <w:rsid w:val="00BE0DF0"/>
    <w:rsid w:val="00BE12F7"/>
    <w:rsid w:val="00BE28C5"/>
    <w:rsid w:val="00BE3DBE"/>
    <w:rsid w:val="00BE435A"/>
    <w:rsid w:val="00BE5F8D"/>
    <w:rsid w:val="00BE7562"/>
    <w:rsid w:val="00BE79E3"/>
    <w:rsid w:val="00BE7A73"/>
    <w:rsid w:val="00BF0322"/>
    <w:rsid w:val="00BF0706"/>
    <w:rsid w:val="00BF19D9"/>
    <w:rsid w:val="00BF1E52"/>
    <w:rsid w:val="00BF205D"/>
    <w:rsid w:val="00BF29CC"/>
    <w:rsid w:val="00BF30FE"/>
    <w:rsid w:val="00BF33EB"/>
    <w:rsid w:val="00BF4265"/>
    <w:rsid w:val="00BF4CAA"/>
    <w:rsid w:val="00BF4D1B"/>
    <w:rsid w:val="00BF595F"/>
    <w:rsid w:val="00BF67B8"/>
    <w:rsid w:val="00C00788"/>
    <w:rsid w:val="00C00F63"/>
    <w:rsid w:val="00C01CF7"/>
    <w:rsid w:val="00C028AB"/>
    <w:rsid w:val="00C03A55"/>
    <w:rsid w:val="00C0510B"/>
    <w:rsid w:val="00C051DB"/>
    <w:rsid w:val="00C05857"/>
    <w:rsid w:val="00C06694"/>
    <w:rsid w:val="00C06921"/>
    <w:rsid w:val="00C06982"/>
    <w:rsid w:val="00C07496"/>
    <w:rsid w:val="00C1040C"/>
    <w:rsid w:val="00C12033"/>
    <w:rsid w:val="00C1238F"/>
    <w:rsid w:val="00C125A8"/>
    <w:rsid w:val="00C13CDE"/>
    <w:rsid w:val="00C13E0C"/>
    <w:rsid w:val="00C14717"/>
    <w:rsid w:val="00C1485A"/>
    <w:rsid w:val="00C14B6D"/>
    <w:rsid w:val="00C14D87"/>
    <w:rsid w:val="00C15457"/>
    <w:rsid w:val="00C17491"/>
    <w:rsid w:val="00C17E32"/>
    <w:rsid w:val="00C212EC"/>
    <w:rsid w:val="00C220F3"/>
    <w:rsid w:val="00C22454"/>
    <w:rsid w:val="00C22873"/>
    <w:rsid w:val="00C23144"/>
    <w:rsid w:val="00C24B42"/>
    <w:rsid w:val="00C250E0"/>
    <w:rsid w:val="00C258FE"/>
    <w:rsid w:val="00C25ACF"/>
    <w:rsid w:val="00C25B1B"/>
    <w:rsid w:val="00C25BA8"/>
    <w:rsid w:val="00C2697C"/>
    <w:rsid w:val="00C26B5A"/>
    <w:rsid w:val="00C301C3"/>
    <w:rsid w:val="00C30E0B"/>
    <w:rsid w:val="00C310A8"/>
    <w:rsid w:val="00C3161A"/>
    <w:rsid w:val="00C3267F"/>
    <w:rsid w:val="00C33298"/>
    <w:rsid w:val="00C33A85"/>
    <w:rsid w:val="00C33FFB"/>
    <w:rsid w:val="00C342CB"/>
    <w:rsid w:val="00C3430A"/>
    <w:rsid w:val="00C34BA7"/>
    <w:rsid w:val="00C36757"/>
    <w:rsid w:val="00C405D0"/>
    <w:rsid w:val="00C40BCD"/>
    <w:rsid w:val="00C413BD"/>
    <w:rsid w:val="00C41D5D"/>
    <w:rsid w:val="00C43C61"/>
    <w:rsid w:val="00C444BB"/>
    <w:rsid w:val="00C44ADF"/>
    <w:rsid w:val="00C44F9D"/>
    <w:rsid w:val="00C45DE7"/>
    <w:rsid w:val="00C46543"/>
    <w:rsid w:val="00C47148"/>
    <w:rsid w:val="00C479A0"/>
    <w:rsid w:val="00C50C48"/>
    <w:rsid w:val="00C512DA"/>
    <w:rsid w:val="00C52A82"/>
    <w:rsid w:val="00C52C5E"/>
    <w:rsid w:val="00C55A7D"/>
    <w:rsid w:val="00C57159"/>
    <w:rsid w:val="00C57520"/>
    <w:rsid w:val="00C6011D"/>
    <w:rsid w:val="00C60878"/>
    <w:rsid w:val="00C61268"/>
    <w:rsid w:val="00C627FF"/>
    <w:rsid w:val="00C636BB"/>
    <w:rsid w:val="00C63BC4"/>
    <w:rsid w:val="00C64BAB"/>
    <w:rsid w:val="00C66BAE"/>
    <w:rsid w:val="00C67E0B"/>
    <w:rsid w:val="00C700C5"/>
    <w:rsid w:val="00C7029E"/>
    <w:rsid w:val="00C7087B"/>
    <w:rsid w:val="00C71086"/>
    <w:rsid w:val="00C71A07"/>
    <w:rsid w:val="00C726E3"/>
    <w:rsid w:val="00C7288A"/>
    <w:rsid w:val="00C72A8D"/>
    <w:rsid w:val="00C72FB6"/>
    <w:rsid w:val="00C74B65"/>
    <w:rsid w:val="00C74F8D"/>
    <w:rsid w:val="00C7500D"/>
    <w:rsid w:val="00C772DA"/>
    <w:rsid w:val="00C8006F"/>
    <w:rsid w:val="00C80466"/>
    <w:rsid w:val="00C8219D"/>
    <w:rsid w:val="00C84193"/>
    <w:rsid w:val="00C8420D"/>
    <w:rsid w:val="00C84563"/>
    <w:rsid w:val="00C84F0B"/>
    <w:rsid w:val="00C8726E"/>
    <w:rsid w:val="00C90A2B"/>
    <w:rsid w:val="00C90CA3"/>
    <w:rsid w:val="00C90D36"/>
    <w:rsid w:val="00C90DF2"/>
    <w:rsid w:val="00C91FF7"/>
    <w:rsid w:val="00C92031"/>
    <w:rsid w:val="00C92461"/>
    <w:rsid w:val="00C9274E"/>
    <w:rsid w:val="00C92A95"/>
    <w:rsid w:val="00C92E80"/>
    <w:rsid w:val="00C92FC6"/>
    <w:rsid w:val="00C94AFC"/>
    <w:rsid w:val="00C95323"/>
    <w:rsid w:val="00C96D36"/>
    <w:rsid w:val="00C976B8"/>
    <w:rsid w:val="00C978EE"/>
    <w:rsid w:val="00CA0632"/>
    <w:rsid w:val="00CA0C79"/>
    <w:rsid w:val="00CA2546"/>
    <w:rsid w:val="00CA3791"/>
    <w:rsid w:val="00CA3830"/>
    <w:rsid w:val="00CA3E9C"/>
    <w:rsid w:val="00CA49F0"/>
    <w:rsid w:val="00CA4BA9"/>
    <w:rsid w:val="00CA6045"/>
    <w:rsid w:val="00CA67CD"/>
    <w:rsid w:val="00CA7333"/>
    <w:rsid w:val="00CA7837"/>
    <w:rsid w:val="00CA7B84"/>
    <w:rsid w:val="00CB074C"/>
    <w:rsid w:val="00CB1C22"/>
    <w:rsid w:val="00CB1E07"/>
    <w:rsid w:val="00CB209C"/>
    <w:rsid w:val="00CB39EE"/>
    <w:rsid w:val="00CB3D1F"/>
    <w:rsid w:val="00CB461D"/>
    <w:rsid w:val="00CB5DB8"/>
    <w:rsid w:val="00CB5EE4"/>
    <w:rsid w:val="00CB753E"/>
    <w:rsid w:val="00CB7DAA"/>
    <w:rsid w:val="00CB7DFB"/>
    <w:rsid w:val="00CC0633"/>
    <w:rsid w:val="00CC13DA"/>
    <w:rsid w:val="00CC28F0"/>
    <w:rsid w:val="00CC2EF2"/>
    <w:rsid w:val="00CC4635"/>
    <w:rsid w:val="00CC5383"/>
    <w:rsid w:val="00CC692D"/>
    <w:rsid w:val="00CC6A6A"/>
    <w:rsid w:val="00CC6CCF"/>
    <w:rsid w:val="00CD2064"/>
    <w:rsid w:val="00CD25EC"/>
    <w:rsid w:val="00CD2AB7"/>
    <w:rsid w:val="00CD2FAC"/>
    <w:rsid w:val="00CD3FBA"/>
    <w:rsid w:val="00CD3FE2"/>
    <w:rsid w:val="00CD5483"/>
    <w:rsid w:val="00CD5D99"/>
    <w:rsid w:val="00CD7136"/>
    <w:rsid w:val="00CD7220"/>
    <w:rsid w:val="00CD775A"/>
    <w:rsid w:val="00CE25FC"/>
    <w:rsid w:val="00CE37A2"/>
    <w:rsid w:val="00CE672D"/>
    <w:rsid w:val="00CE6F7F"/>
    <w:rsid w:val="00CE72A7"/>
    <w:rsid w:val="00CE7907"/>
    <w:rsid w:val="00CE7A94"/>
    <w:rsid w:val="00CE7FE1"/>
    <w:rsid w:val="00CF05DD"/>
    <w:rsid w:val="00CF0946"/>
    <w:rsid w:val="00CF18D8"/>
    <w:rsid w:val="00CF21A1"/>
    <w:rsid w:val="00CF366D"/>
    <w:rsid w:val="00CF3CEA"/>
    <w:rsid w:val="00CF49AF"/>
    <w:rsid w:val="00CF66A3"/>
    <w:rsid w:val="00CF675F"/>
    <w:rsid w:val="00CF72C0"/>
    <w:rsid w:val="00CF7BE0"/>
    <w:rsid w:val="00D008DB"/>
    <w:rsid w:val="00D00AD9"/>
    <w:rsid w:val="00D01554"/>
    <w:rsid w:val="00D021F1"/>
    <w:rsid w:val="00D03277"/>
    <w:rsid w:val="00D03D5C"/>
    <w:rsid w:val="00D041C0"/>
    <w:rsid w:val="00D0483D"/>
    <w:rsid w:val="00D05D07"/>
    <w:rsid w:val="00D06054"/>
    <w:rsid w:val="00D063A6"/>
    <w:rsid w:val="00D0680F"/>
    <w:rsid w:val="00D069EA"/>
    <w:rsid w:val="00D10B81"/>
    <w:rsid w:val="00D11341"/>
    <w:rsid w:val="00D117EA"/>
    <w:rsid w:val="00D11B1B"/>
    <w:rsid w:val="00D122CE"/>
    <w:rsid w:val="00D15222"/>
    <w:rsid w:val="00D154D8"/>
    <w:rsid w:val="00D169A1"/>
    <w:rsid w:val="00D20038"/>
    <w:rsid w:val="00D200A7"/>
    <w:rsid w:val="00D20381"/>
    <w:rsid w:val="00D20715"/>
    <w:rsid w:val="00D21AC2"/>
    <w:rsid w:val="00D23860"/>
    <w:rsid w:val="00D24492"/>
    <w:rsid w:val="00D24A99"/>
    <w:rsid w:val="00D24C0C"/>
    <w:rsid w:val="00D256B5"/>
    <w:rsid w:val="00D30863"/>
    <w:rsid w:val="00D30C60"/>
    <w:rsid w:val="00D32D10"/>
    <w:rsid w:val="00D340C9"/>
    <w:rsid w:val="00D34280"/>
    <w:rsid w:val="00D36CD7"/>
    <w:rsid w:val="00D36EE4"/>
    <w:rsid w:val="00D37A71"/>
    <w:rsid w:val="00D40288"/>
    <w:rsid w:val="00D40527"/>
    <w:rsid w:val="00D41BD5"/>
    <w:rsid w:val="00D434E4"/>
    <w:rsid w:val="00D435A3"/>
    <w:rsid w:val="00D435D3"/>
    <w:rsid w:val="00D43CDA"/>
    <w:rsid w:val="00D442FC"/>
    <w:rsid w:val="00D456E0"/>
    <w:rsid w:val="00D459C1"/>
    <w:rsid w:val="00D46844"/>
    <w:rsid w:val="00D50BAE"/>
    <w:rsid w:val="00D512AF"/>
    <w:rsid w:val="00D51A9F"/>
    <w:rsid w:val="00D52211"/>
    <w:rsid w:val="00D527CF"/>
    <w:rsid w:val="00D52E22"/>
    <w:rsid w:val="00D54F62"/>
    <w:rsid w:val="00D56B69"/>
    <w:rsid w:val="00D570B4"/>
    <w:rsid w:val="00D6104D"/>
    <w:rsid w:val="00D613A0"/>
    <w:rsid w:val="00D6295F"/>
    <w:rsid w:val="00D62D8E"/>
    <w:rsid w:val="00D633BD"/>
    <w:rsid w:val="00D67162"/>
    <w:rsid w:val="00D67981"/>
    <w:rsid w:val="00D712FC"/>
    <w:rsid w:val="00D717E7"/>
    <w:rsid w:val="00D7440E"/>
    <w:rsid w:val="00D77D75"/>
    <w:rsid w:val="00D8085F"/>
    <w:rsid w:val="00D81651"/>
    <w:rsid w:val="00D81C11"/>
    <w:rsid w:val="00D82AE9"/>
    <w:rsid w:val="00D83624"/>
    <w:rsid w:val="00D83C30"/>
    <w:rsid w:val="00D84B33"/>
    <w:rsid w:val="00D85D47"/>
    <w:rsid w:val="00D86702"/>
    <w:rsid w:val="00D86B38"/>
    <w:rsid w:val="00D909BE"/>
    <w:rsid w:val="00D934A8"/>
    <w:rsid w:val="00D94E02"/>
    <w:rsid w:val="00D959CF"/>
    <w:rsid w:val="00D963A3"/>
    <w:rsid w:val="00D96A03"/>
    <w:rsid w:val="00D976D5"/>
    <w:rsid w:val="00DA07E5"/>
    <w:rsid w:val="00DA0F5D"/>
    <w:rsid w:val="00DA239C"/>
    <w:rsid w:val="00DA265C"/>
    <w:rsid w:val="00DA3371"/>
    <w:rsid w:val="00DA3D26"/>
    <w:rsid w:val="00DA3E39"/>
    <w:rsid w:val="00DA400D"/>
    <w:rsid w:val="00DA482D"/>
    <w:rsid w:val="00DA4BC3"/>
    <w:rsid w:val="00DA7135"/>
    <w:rsid w:val="00DA7E60"/>
    <w:rsid w:val="00DB332D"/>
    <w:rsid w:val="00DB3EF5"/>
    <w:rsid w:val="00DB4840"/>
    <w:rsid w:val="00DB4915"/>
    <w:rsid w:val="00DB4CC6"/>
    <w:rsid w:val="00DB4FDD"/>
    <w:rsid w:val="00DB53B6"/>
    <w:rsid w:val="00DB5DC6"/>
    <w:rsid w:val="00DC047F"/>
    <w:rsid w:val="00DC338E"/>
    <w:rsid w:val="00DC53E7"/>
    <w:rsid w:val="00DC5408"/>
    <w:rsid w:val="00DC68D5"/>
    <w:rsid w:val="00DC6E20"/>
    <w:rsid w:val="00DC7100"/>
    <w:rsid w:val="00DC7E22"/>
    <w:rsid w:val="00DD0686"/>
    <w:rsid w:val="00DD0834"/>
    <w:rsid w:val="00DD0B42"/>
    <w:rsid w:val="00DD0E6A"/>
    <w:rsid w:val="00DD2E2C"/>
    <w:rsid w:val="00DD2E55"/>
    <w:rsid w:val="00DD337A"/>
    <w:rsid w:val="00DD3C2E"/>
    <w:rsid w:val="00DD3F3F"/>
    <w:rsid w:val="00DD4108"/>
    <w:rsid w:val="00DD413F"/>
    <w:rsid w:val="00DD429F"/>
    <w:rsid w:val="00DD4FD0"/>
    <w:rsid w:val="00DD5C10"/>
    <w:rsid w:val="00DD5E59"/>
    <w:rsid w:val="00DD6928"/>
    <w:rsid w:val="00DE0C87"/>
    <w:rsid w:val="00DE200C"/>
    <w:rsid w:val="00DE2960"/>
    <w:rsid w:val="00DE2DFF"/>
    <w:rsid w:val="00DE333A"/>
    <w:rsid w:val="00DE37D0"/>
    <w:rsid w:val="00DE4810"/>
    <w:rsid w:val="00DE5715"/>
    <w:rsid w:val="00DE5E14"/>
    <w:rsid w:val="00DE75BF"/>
    <w:rsid w:val="00DE7667"/>
    <w:rsid w:val="00DF0293"/>
    <w:rsid w:val="00DF09CE"/>
    <w:rsid w:val="00DF0C1E"/>
    <w:rsid w:val="00DF1AEB"/>
    <w:rsid w:val="00DF234A"/>
    <w:rsid w:val="00DF2DA2"/>
    <w:rsid w:val="00DF51CF"/>
    <w:rsid w:val="00DF549F"/>
    <w:rsid w:val="00DF65D5"/>
    <w:rsid w:val="00E014F2"/>
    <w:rsid w:val="00E01819"/>
    <w:rsid w:val="00E020F8"/>
    <w:rsid w:val="00E03B05"/>
    <w:rsid w:val="00E04D0D"/>
    <w:rsid w:val="00E051C1"/>
    <w:rsid w:val="00E05220"/>
    <w:rsid w:val="00E06C66"/>
    <w:rsid w:val="00E10346"/>
    <w:rsid w:val="00E13695"/>
    <w:rsid w:val="00E13808"/>
    <w:rsid w:val="00E13F13"/>
    <w:rsid w:val="00E141F7"/>
    <w:rsid w:val="00E14822"/>
    <w:rsid w:val="00E1662C"/>
    <w:rsid w:val="00E167D0"/>
    <w:rsid w:val="00E17244"/>
    <w:rsid w:val="00E17636"/>
    <w:rsid w:val="00E2043C"/>
    <w:rsid w:val="00E2053C"/>
    <w:rsid w:val="00E20D05"/>
    <w:rsid w:val="00E20D15"/>
    <w:rsid w:val="00E231F8"/>
    <w:rsid w:val="00E23221"/>
    <w:rsid w:val="00E239AE"/>
    <w:rsid w:val="00E23A4B"/>
    <w:rsid w:val="00E23D16"/>
    <w:rsid w:val="00E23E83"/>
    <w:rsid w:val="00E23F6D"/>
    <w:rsid w:val="00E24ABC"/>
    <w:rsid w:val="00E24ACC"/>
    <w:rsid w:val="00E2593D"/>
    <w:rsid w:val="00E25A89"/>
    <w:rsid w:val="00E26847"/>
    <w:rsid w:val="00E272ED"/>
    <w:rsid w:val="00E31369"/>
    <w:rsid w:val="00E31E99"/>
    <w:rsid w:val="00E322CF"/>
    <w:rsid w:val="00E3466F"/>
    <w:rsid w:val="00E3515D"/>
    <w:rsid w:val="00E35524"/>
    <w:rsid w:val="00E35AAA"/>
    <w:rsid w:val="00E35F67"/>
    <w:rsid w:val="00E377EC"/>
    <w:rsid w:val="00E37FCB"/>
    <w:rsid w:val="00E4065F"/>
    <w:rsid w:val="00E40A6F"/>
    <w:rsid w:val="00E41F22"/>
    <w:rsid w:val="00E4303A"/>
    <w:rsid w:val="00E43AC4"/>
    <w:rsid w:val="00E43EBE"/>
    <w:rsid w:val="00E445CC"/>
    <w:rsid w:val="00E459E5"/>
    <w:rsid w:val="00E45CA9"/>
    <w:rsid w:val="00E460FE"/>
    <w:rsid w:val="00E501AE"/>
    <w:rsid w:val="00E50913"/>
    <w:rsid w:val="00E50999"/>
    <w:rsid w:val="00E50CC0"/>
    <w:rsid w:val="00E511D4"/>
    <w:rsid w:val="00E53269"/>
    <w:rsid w:val="00E54D36"/>
    <w:rsid w:val="00E55432"/>
    <w:rsid w:val="00E56046"/>
    <w:rsid w:val="00E5669E"/>
    <w:rsid w:val="00E56CDE"/>
    <w:rsid w:val="00E573AA"/>
    <w:rsid w:val="00E57F26"/>
    <w:rsid w:val="00E57F87"/>
    <w:rsid w:val="00E632CA"/>
    <w:rsid w:val="00E644DA"/>
    <w:rsid w:val="00E647B0"/>
    <w:rsid w:val="00E64A7C"/>
    <w:rsid w:val="00E64E02"/>
    <w:rsid w:val="00E64FB9"/>
    <w:rsid w:val="00E650A3"/>
    <w:rsid w:val="00E6632C"/>
    <w:rsid w:val="00E705B2"/>
    <w:rsid w:val="00E709A1"/>
    <w:rsid w:val="00E70D12"/>
    <w:rsid w:val="00E71290"/>
    <w:rsid w:val="00E73755"/>
    <w:rsid w:val="00E7487F"/>
    <w:rsid w:val="00E76196"/>
    <w:rsid w:val="00E77B32"/>
    <w:rsid w:val="00E81C83"/>
    <w:rsid w:val="00E8212D"/>
    <w:rsid w:val="00E82D31"/>
    <w:rsid w:val="00E83447"/>
    <w:rsid w:val="00E84F3A"/>
    <w:rsid w:val="00E8631C"/>
    <w:rsid w:val="00E86AD8"/>
    <w:rsid w:val="00E875EE"/>
    <w:rsid w:val="00E8784A"/>
    <w:rsid w:val="00E90E3C"/>
    <w:rsid w:val="00E923E9"/>
    <w:rsid w:val="00E93A04"/>
    <w:rsid w:val="00E95144"/>
    <w:rsid w:val="00E95C61"/>
    <w:rsid w:val="00E96426"/>
    <w:rsid w:val="00EA09EF"/>
    <w:rsid w:val="00EA1AA1"/>
    <w:rsid w:val="00EA2C57"/>
    <w:rsid w:val="00EA3D3B"/>
    <w:rsid w:val="00EA44B6"/>
    <w:rsid w:val="00EA6347"/>
    <w:rsid w:val="00EA6629"/>
    <w:rsid w:val="00EA6901"/>
    <w:rsid w:val="00EA6EB4"/>
    <w:rsid w:val="00EA79EB"/>
    <w:rsid w:val="00EA7FB1"/>
    <w:rsid w:val="00EB0614"/>
    <w:rsid w:val="00EB14D3"/>
    <w:rsid w:val="00EB195A"/>
    <w:rsid w:val="00EB3219"/>
    <w:rsid w:val="00EB38F7"/>
    <w:rsid w:val="00EB42F7"/>
    <w:rsid w:val="00EB43C0"/>
    <w:rsid w:val="00EC040E"/>
    <w:rsid w:val="00EC0D11"/>
    <w:rsid w:val="00EC2BDD"/>
    <w:rsid w:val="00EC37C5"/>
    <w:rsid w:val="00EC38A4"/>
    <w:rsid w:val="00EC3BBC"/>
    <w:rsid w:val="00EC5894"/>
    <w:rsid w:val="00EC5C44"/>
    <w:rsid w:val="00EC708A"/>
    <w:rsid w:val="00ED0216"/>
    <w:rsid w:val="00ED0786"/>
    <w:rsid w:val="00ED0C11"/>
    <w:rsid w:val="00ED157D"/>
    <w:rsid w:val="00ED16A5"/>
    <w:rsid w:val="00ED2FB6"/>
    <w:rsid w:val="00ED3AB5"/>
    <w:rsid w:val="00ED4071"/>
    <w:rsid w:val="00ED4195"/>
    <w:rsid w:val="00ED599F"/>
    <w:rsid w:val="00ED5CB7"/>
    <w:rsid w:val="00ED739F"/>
    <w:rsid w:val="00EE0C49"/>
    <w:rsid w:val="00EE20F4"/>
    <w:rsid w:val="00EE2E77"/>
    <w:rsid w:val="00EE330F"/>
    <w:rsid w:val="00EE36AA"/>
    <w:rsid w:val="00EE3869"/>
    <w:rsid w:val="00EE424C"/>
    <w:rsid w:val="00EE6944"/>
    <w:rsid w:val="00EE6CA2"/>
    <w:rsid w:val="00EE6D3B"/>
    <w:rsid w:val="00EE7888"/>
    <w:rsid w:val="00EF05FF"/>
    <w:rsid w:val="00EF1570"/>
    <w:rsid w:val="00EF1A80"/>
    <w:rsid w:val="00EF1C6A"/>
    <w:rsid w:val="00EF2F9F"/>
    <w:rsid w:val="00EF3B0E"/>
    <w:rsid w:val="00EF4138"/>
    <w:rsid w:val="00EF4351"/>
    <w:rsid w:val="00EF4E87"/>
    <w:rsid w:val="00EF59B3"/>
    <w:rsid w:val="00EF5C73"/>
    <w:rsid w:val="00EF60A7"/>
    <w:rsid w:val="00EF700A"/>
    <w:rsid w:val="00EF743E"/>
    <w:rsid w:val="00EF7C9F"/>
    <w:rsid w:val="00F02C2F"/>
    <w:rsid w:val="00F0320D"/>
    <w:rsid w:val="00F032C6"/>
    <w:rsid w:val="00F05208"/>
    <w:rsid w:val="00F06656"/>
    <w:rsid w:val="00F06DEB"/>
    <w:rsid w:val="00F07FA2"/>
    <w:rsid w:val="00F1259C"/>
    <w:rsid w:val="00F149DE"/>
    <w:rsid w:val="00F156D0"/>
    <w:rsid w:val="00F1660B"/>
    <w:rsid w:val="00F16D73"/>
    <w:rsid w:val="00F16F75"/>
    <w:rsid w:val="00F178BA"/>
    <w:rsid w:val="00F210B3"/>
    <w:rsid w:val="00F21CF7"/>
    <w:rsid w:val="00F237CB"/>
    <w:rsid w:val="00F25D94"/>
    <w:rsid w:val="00F30691"/>
    <w:rsid w:val="00F319C5"/>
    <w:rsid w:val="00F31A4D"/>
    <w:rsid w:val="00F31BD4"/>
    <w:rsid w:val="00F34513"/>
    <w:rsid w:val="00F34F9B"/>
    <w:rsid w:val="00F34FA1"/>
    <w:rsid w:val="00F35CD4"/>
    <w:rsid w:val="00F3695F"/>
    <w:rsid w:val="00F37359"/>
    <w:rsid w:val="00F378F8"/>
    <w:rsid w:val="00F37954"/>
    <w:rsid w:val="00F4003D"/>
    <w:rsid w:val="00F406D1"/>
    <w:rsid w:val="00F42F6F"/>
    <w:rsid w:val="00F43318"/>
    <w:rsid w:val="00F4369D"/>
    <w:rsid w:val="00F44A3C"/>
    <w:rsid w:val="00F45034"/>
    <w:rsid w:val="00F4632E"/>
    <w:rsid w:val="00F4699D"/>
    <w:rsid w:val="00F46F81"/>
    <w:rsid w:val="00F5116E"/>
    <w:rsid w:val="00F51D39"/>
    <w:rsid w:val="00F5226C"/>
    <w:rsid w:val="00F54F3C"/>
    <w:rsid w:val="00F55379"/>
    <w:rsid w:val="00F55680"/>
    <w:rsid w:val="00F5569A"/>
    <w:rsid w:val="00F55721"/>
    <w:rsid w:val="00F55C54"/>
    <w:rsid w:val="00F56CD8"/>
    <w:rsid w:val="00F56F45"/>
    <w:rsid w:val="00F57D21"/>
    <w:rsid w:val="00F615F4"/>
    <w:rsid w:val="00F623D7"/>
    <w:rsid w:val="00F63664"/>
    <w:rsid w:val="00F63F00"/>
    <w:rsid w:val="00F65D1B"/>
    <w:rsid w:val="00F65D87"/>
    <w:rsid w:val="00F671B7"/>
    <w:rsid w:val="00F73F25"/>
    <w:rsid w:val="00F75EA3"/>
    <w:rsid w:val="00F761B0"/>
    <w:rsid w:val="00F768D9"/>
    <w:rsid w:val="00F777AB"/>
    <w:rsid w:val="00F77F8C"/>
    <w:rsid w:val="00F80BF4"/>
    <w:rsid w:val="00F80C80"/>
    <w:rsid w:val="00F81C8A"/>
    <w:rsid w:val="00F81F98"/>
    <w:rsid w:val="00F825BE"/>
    <w:rsid w:val="00F827F7"/>
    <w:rsid w:val="00F85182"/>
    <w:rsid w:val="00F85A1A"/>
    <w:rsid w:val="00F861BF"/>
    <w:rsid w:val="00F87342"/>
    <w:rsid w:val="00F87583"/>
    <w:rsid w:val="00F876C6"/>
    <w:rsid w:val="00F879C2"/>
    <w:rsid w:val="00F9126A"/>
    <w:rsid w:val="00F91520"/>
    <w:rsid w:val="00F92C9D"/>
    <w:rsid w:val="00F933A3"/>
    <w:rsid w:val="00F93A2D"/>
    <w:rsid w:val="00F974C5"/>
    <w:rsid w:val="00F97BC6"/>
    <w:rsid w:val="00FA1F5A"/>
    <w:rsid w:val="00FA215F"/>
    <w:rsid w:val="00FA22BF"/>
    <w:rsid w:val="00FA33DE"/>
    <w:rsid w:val="00FA3A8E"/>
    <w:rsid w:val="00FA6489"/>
    <w:rsid w:val="00FA6D9E"/>
    <w:rsid w:val="00FA6E78"/>
    <w:rsid w:val="00FA72BF"/>
    <w:rsid w:val="00FA76B7"/>
    <w:rsid w:val="00FA78B7"/>
    <w:rsid w:val="00FB07BA"/>
    <w:rsid w:val="00FB12C4"/>
    <w:rsid w:val="00FB23BA"/>
    <w:rsid w:val="00FB2BDE"/>
    <w:rsid w:val="00FB2CF4"/>
    <w:rsid w:val="00FB38E4"/>
    <w:rsid w:val="00FB7D1B"/>
    <w:rsid w:val="00FC09CC"/>
    <w:rsid w:val="00FC0DA1"/>
    <w:rsid w:val="00FC1960"/>
    <w:rsid w:val="00FC39B6"/>
    <w:rsid w:val="00FC65B9"/>
    <w:rsid w:val="00FC6960"/>
    <w:rsid w:val="00FC6D2D"/>
    <w:rsid w:val="00FD24A5"/>
    <w:rsid w:val="00FD340E"/>
    <w:rsid w:val="00FD3D2E"/>
    <w:rsid w:val="00FD3F5C"/>
    <w:rsid w:val="00FD42F8"/>
    <w:rsid w:val="00FD47BE"/>
    <w:rsid w:val="00FD5E79"/>
    <w:rsid w:val="00FD7FA8"/>
    <w:rsid w:val="00FE0B20"/>
    <w:rsid w:val="00FE1502"/>
    <w:rsid w:val="00FE31B4"/>
    <w:rsid w:val="00FE4DF0"/>
    <w:rsid w:val="00FE5997"/>
    <w:rsid w:val="00FE5DE2"/>
    <w:rsid w:val="00FE73F5"/>
    <w:rsid w:val="00FE7AC4"/>
    <w:rsid w:val="00FE7BA8"/>
    <w:rsid w:val="00FF0D93"/>
    <w:rsid w:val="00FF110D"/>
    <w:rsid w:val="00FF13D5"/>
    <w:rsid w:val="00FF163B"/>
    <w:rsid w:val="00FF233F"/>
    <w:rsid w:val="00FF2459"/>
    <w:rsid w:val="00FF2AEC"/>
    <w:rsid w:val="00FF3DD9"/>
    <w:rsid w:val="00FF43CE"/>
    <w:rsid w:val="00FF4BBA"/>
    <w:rsid w:val="00FF57BF"/>
    <w:rsid w:val="00FF5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EC08B4"/>
  <w15:docId w15:val="{006B3BFC-3029-4B77-80FF-833223CDF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D2A"/>
    <w:pPr>
      <w:spacing w:after="280" w:line="360" w:lineRule="auto"/>
    </w:pPr>
    <w:rPr>
      <w:rFonts w:ascii="Arial" w:hAnsi="Arial" w:cs="Arial"/>
      <w:sz w:val="22"/>
    </w:rPr>
  </w:style>
  <w:style w:type="paragraph" w:styleId="Heading1">
    <w:name w:val="heading 1"/>
    <w:basedOn w:val="Normal"/>
    <w:link w:val="Heading1Char"/>
    <w:uiPriority w:val="9"/>
    <w:qFormat/>
    <w:pPr>
      <w:numPr>
        <w:numId w:val="1"/>
      </w:numPr>
      <w:outlineLvl w:val="0"/>
    </w:pPr>
    <w:rPr>
      <w:rFonts w:cs="Times New Roman"/>
    </w:rPr>
  </w:style>
  <w:style w:type="paragraph" w:styleId="Heading2">
    <w:name w:val="heading 2"/>
    <w:basedOn w:val="Heading1"/>
    <w:link w:val="Heading2Char"/>
    <w:uiPriority w:val="9"/>
    <w:qFormat/>
    <w:pPr>
      <w:numPr>
        <w:ilvl w:val="1"/>
      </w:numPr>
      <w:outlineLvl w:val="1"/>
    </w:pPr>
  </w:style>
  <w:style w:type="paragraph" w:styleId="Heading3">
    <w:name w:val="heading 3"/>
    <w:basedOn w:val="Heading2"/>
    <w:uiPriority w:val="9"/>
    <w:qFormat/>
    <w:pPr>
      <w:numPr>
        <w:ilvl w:val="2"/>
      </w:numPr>
      <w:outlineLvl w:val="2"/>
    </w:pPr>
  </w:style>
  <w:style w:type="paragraph" w:styleId="Heading4">
    <w:name w:val="heading 4"/>
    <w:basedOn w:val="Normal"/>
    <w:uiPriority w:val="9"/>
    <w:qFormat/>
    <w:pPr>
      <w:numPr>
        <w:ilvl w:val="3"/>
        <w:numId w:val="1"/>
      </w:numPr>
      <w:outlineLvl w:val="3"/>
    </w:pPr>
    <w:rPr>
      <w:rFonts w:cs="Times New Roman"/>
    </w:rPr>
  </w:style>
  <w:style w:type="paragraph" w:styleId="Heading5">
    <w:name w:val="heading 5"/>
    <w:basedOn w:val="Normal"/>
    <w:uiPriority w:val="9"/>
    <w:qFormat/>
    <w:pPr>
      <w:numPr>
        <w:ilvl w:val="4"/>
        <w:numId w:val="1"/>
      </w:numPr>
      <w:outlineLvl w:val="4"/>
    </w:pPr>
    <w:rPr>
      <w:rFonts w:cs="Times New Roman"/>
    </w:rPr>
  </w:style>
  <w:style w:type="paragraph" w:styleId="Heading6">
    <w:name w:val="heading 6"/>
    <w:basedOn w:val="Normal"/>
    <w:uiPriority w:val="9"/>
    <w:qFormat/>
    <w:pPr>
      <w:numPr>
        <w:ilvl w:val="5"/>
        <w:numId w:val="1"/>
      </w:numPr>
      <w:outlineLvl w:val="5"/>
    </w:pPr>
    <w:rPr>
      <w:rFonts w:cs="Times New Roman"/>
    </w:rPr>
  </w:style>
  <w:style w:type="paragraph" w:styleId="Heading7">
    <w:name w:val="heading 7"/>
    <w:basedOn w:val="Normal"/>
    <w:uiPriority w:val="9"/>
    <w:qFormat/>
    <w:pPr>
      <w:numPr>
        <w:ilvl w:val="6"/>
        <w:numId w:val="1"/>
      </w:numPr>
      <w:outlineLvl w:val="6"/>
    </w:pPr>
    <w:rPr>
      <w:rFonts w:cs="Times New Roman"/>
    </w:rPr>
  </w:style>
  <w:style w:type="paragraph" w:styleId="Heading8">
    <w:name w:val="heading 8"/>
    <w:basedOn w:val="Heading7"/>
    <w:qFormat/>
    <w:pPr>
      <w:outlineLvl w:val="7"/>
    </w:pPr>
  </w:style>
  <w:style w:type="paragraph" w:styleId="Heading9">
    <w:name w:val="heading 9"/>
    <w:basedOn w:val="Heading8"/>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Management">
    <w:name w:val="CaseManagement"/>
    <w:basedOn w:val="Normal"/>
    <w:pPr>
      <w:spacing w:before="240"/>
      <w:ind w:left="4536" w:hanging="2835"/>
    </w:pPr>
  </w:style>
  <w:style w:type="paragraph" w:styleId="Footer">
    <w:name w:val="footer"/>
    <w:basedOn w:val="Normal"/>
    <w:link w:val="FooterChar"/>
    <w:uiPriority w:val="99"/>
    <w:pPr>
      <w:tabs>
        <w:tab w:val="center" w:pos="4153"/>
        <w:tab w:val="right" w:pos="8306"/>
      </w:tabs>
    </w:pPr>
  </w:style>
  <w:style w:type="paragraph" w:styleId="Header">
    <w:name w:val="header"/>
    <w:basedOn w:val="Normal"/>
    <w:pPr>
      <w:tabs>
        <w:tab w:val="center" w:pos="4153"/>
        <w:tab w:val="right" w:pos="8306"/>
      </w:tabs>
    </w:pPr>
  </w:style>
  <w:style w:type="paragraph" w:customStyle="1" w:styleId="MajorHeading">
    <w:name w:val="Major Heading"/>
    <w:basedOn w:val="Normal"/>
    <w:next w:val="Normal"/>
    <w:pPr>
      <w:keepNext/>
      <w:pBdr>
        <w:bottom w:val="single" w:sz="6" w:space="6" w:color="auto"/>
      </w:pBdr>
      <w:spacing w:before="160"/>
    </w:pPr>
    <w:rPr>
      <w:b/>
      <w:sz w:val="28"/>
    </w:rPr>
  </w:style>
  <w:style w:type="paragraph" w:customStyle="1" w:styleId="Intituling">
    <w:name w:val="Intituling"/>
    <w:basedOn w:val="Normal"/>
    <w:pPr>
      <w:spacing w:after="0" w:line="240" w:lineRule="auto"/>
    </w:pPr>
  </w:style>
  <w:style w:type="paragraph" w:customStyle="1" w:styleId="MinorHeading">
    <w:name w:val="Minor Heading"/>
    <w:basedOn w:val="Normal"/>
    <w:next w:val="Normal"/>
    <w:pPr>
      <w:keepNext/>
      <w:spacing w:before="160"/>
    </w:pPr>
    <w:rPr>
      <w:b/>
      <w:sz w:val="24"/>
    </w:rPr>
  </w:style>
  <w:style w:type="paragraph" w:customStyle="1" w:styleId="Indent1">
    <w:name w:val="Indent 1"/>
    <w:basedOn w:val="Normal"/>
    <w:pPr>
      <w:ind w:left="850"/>
    </w:pPr>
    <w:rPr>
      <w:rFonts w:cs="Times New Roman"/>
    </w:rPr>
  </w:style>
  <w:style w:type="paragraph" w:customStyle="1" w:styleId="Indent2">
    <w:name w:val="Indent 2"/>
    <w:basedOn w:val="Normal"/>
    <w:pPr>
      <w:ind w:left="1417"/>
    </w:pPr>
    <w:rPr>
      <w:rFonts w:cs="Times New Roman"/>
    </w:rPr>
  </w:style>
  <w:style w:type="paragraph" w:customStyle="1" w:styleId="Indent3">
    <w:name w:val="Indent 3"/>
    <w:basedOn w:val="Normal"/>
    <w:pPr>
      <w:ind w:left="1984"/>
    </w:pPr>
    <w:rPr>
      <w:rFonts w:cs="Times New Roman"/>
    </w:rPr>
  </w:style>
  <w:style w:type="paragraph" w:customStyle="1" w:styleId="Indent4">
    <w:name w:val="Indent 4"/>
    <w:basedOn w:val="Normal"/>
    <w:pPr>
      <w:ind w:left="2551"/>
    </w:pPr>
    <w:rPr>
      <w:rFonts w:cs="Times New Roman"/>
    </w:rPr>
  </w:style>
  <w:style w:type="paragraph" w:customStyle="1" w:styleId="Indent5">
    <w:name w:val="Indent 5"/>
    <w:basedOn w:val="Normal"/>
    <w:pPr>
      <w:ind w:left="3118"/>
    </w:pPr>
    <w:rPr>
      <w:rFonts w:cs="Times New Roman"/>
    </w:rPr>
  </w:style>
  <w:style w:type="character" w:customStyle="1" w:styleId="bgEmphasis">
    <w:name w:val="bgEmphasis"/>
    <w:rsid w:val="00AC4074"/>
    <w:rPr>
      <w:b/>
    </w:rPr>
  </w:style>
  <w:style w:type="paragraph" w:customStyle="1" w:styleId="bgSmallCapsChar">
    <w:name w:val="bgSmallCaps Char"/>
    <w:basedOn w:val="Normal"/>
    <w:link w:val="bgSmallCapsCharChar"/>
    <w:rsid w:val="00AC4074"/>
    <w:pPr>
      <w:adjustRightInd w:val="0"/>
      <w:spacing w:after="0" w:line="170" w:lineRule="exact"/>
    </w:pPr>
    <w:rPr>
      <w:caps/>
      <w:spacing w:val="6"/>
      <w:sz w:val="11"/>
      <w:szCs w:val="11"/>
      <w:lang w:eastAsia="en-GB"/>
    </w:rPr>
  </w:style>
  <w:style w:type="character" w:customStyle="1" w:styleId="bgSmallCapsSB9Char">
    <w:name w:val="bgSmallCapsSB9 Char"/>
    <w:link w:val="bgSmallCapsSB9"/>
    <w:rsid w:val="00376083"/>
    <w:rPr>
      <w:rFonts w:ascii="Arial" w:hAnsi="Arial" w:cs="Arial"/>
      <w:caps/>
      <w:spacing w:val="6"/>
      <w:sz w:val="11"/>
      <w:szCs w:val="11"/>
      <w:lang w:val="en-NZ" w:eastAsia="en-GB" w:bidi="ar-SA"/>
    </w:rPr>
  </w:style>
  <w:style w:type="paragraph" w:customStyle="1" w:styleId="bgNoSpaceAfter">
    <w:name w:val="bgNoSpaceAfter"/>
    <w:basedOn w:val="Normal"/>
    <w:rsid w:val="00656E73"/>
    <w:pPr>
      <w:adjustRightInd w:val="0"/>
      <w:spacing w:after="0" w:line="280" w:lineRule="exact"/>
    </w:pPr>
    <w:rPr>
      <w:sz w:val="20"/>
      <w:lang w:eastAsia="en-GB"/>
    </w:rPr>
  </w:style>
  <w:style w:type="paragraph" w:customStyle="1" w:styleId="bgSmallCaps7">
    <w:name w:val="bgSmallCaps7"/>
    <w:basedOn w:val="bgSmallCapsChar"/>
    <w:link w:val="bgSmallCaps7Char"/>
    <w:rsid w:val="00A13C66"/>
    <w:rPr>
      <w:sz w:val="14"/>
      <w:szCs w:val="14"/>
    </w:rPr>
  </w:style>
  <w:style w:type="character" w:customStyle="1" w:styleId="bgSmallCapsCharChar">
    <w:name w:val="bgSmallCaps Char Char"/>
    <w:link w:val="bgSmallCapsChar"/>
    <w:rsid w:val="00A13C66"/>
    <w:rPr>
      <w:rFonts w:ascii="Arial" w:hAnsi="Arial" w:cs="Arial"/>
      <w:caps/>
      <w:spacing w:val="6"/>
      <w:sz w:val="11"/>
      <w:szCs w:val="11"/>
      <w:lang w:val="en-NZ" w:eastAsia="en-GB" w:bidi="ar-SA"/>
    </w:rPr>
  </w:style>
  <w:style w:type="character" w:customStyle="1" w:styleId="bgSmallCaps7Char">
    <w:name w:val="bgSmallCaps7 Char"/>
    <w:link w:val="bgSmallCaps7"/>
    <w:rsid w:val="00A13C66"/>
    <w:rPr>
      <w:rFonts w:ascii="Arial" w:hAnsi="Arial" w:cs="Arial"/>
      <w:caps/>
      <w:spacing w:val="6"/>
      <w:sz w:val="14"/>
      <w:szCs w:val="14"/>
      <w:lang w:val="en-NZ" w:eastAsia="en-GB" w:bidi="ar-SA"/>
    </w:rPr>
  </w:style>
  <w:style w:type="paragraph" w:customStyle="1" w:styleId="bgSmallCaps6">
    <w:name w:val="bgSmallCaps6"/>
    <w:basedOn w:val="bgSmallCapsChar"/>
    <w:link w:val="bgSmallCaps6Char"/>
    <w:rsid w:val="00A13C66"/>
    <w:rPr>
      <w:sz w:val="12"/>
      <w:szCs w:val="12"/>
    </w:rPr>
  </w:style>
  <w:style w:type="character" w:customStyle="1" w:styleId="bgSmallCaps6Char">
    <w:name w:val="bgSmallCaps6 Char"/>
    <w:link w:val="bgSmallCaps6"/>
    <w:rsid w:val="00A13C66"/>
    <w:rPr>
      <w:rFonts w:ascii="Arial" w:hAnsi="Arial" w:cs="Arial"/>
      <w:caps/>
      <w:spacing w:val="6"/>
      <w:sz w:val="12"/>
      <w:szCs w:val="12"/>
      <w:lang w:val="en-NZ" w:eastAsia="en-GB" w:bidi="ar-SA"/>
    </w:rPr>
  </w:style>
  <w:style w:type="paragraph" w:customStyle="1" w:styleId="bgSmallCapsSB9">
    <w:name w:val="bgSmallCapsSB9"/>
    <w:basedOn w:val="bgSmallCapsChar"/>
    <w:link w:val="bgSmallCapsSB9Char"/>
    <w:rsid w:val="00A13C66"/>
    <w:pPr>
      <w:spacing w:before="180"/>
    </w:pPr>
  </w:style>
  <w:style w:type="paragraph" w:customStyle="1" w:styleId="bgFooterCourt">
    <w:name w:val="bgFooterCourt"/>
    <w:basedOn w:val="bgSmallCapsChar"/>
    <w:rsid w:val="00725707"/>
    <w:rPr>
      <w:caps w:val="0"/>
      <w:sz w:val="14"/>
      <w:szCs w:val="14"/>
    </w:rPr>
  </w:style>
  <w:style w:type="character" w:styleId="PageNumber">
    <w:name w:val="page number"/>
    <w:basedOn w:val="DefaultParagraphFont"/>
  </w:style>
  <w:style w:type="paragraph" w:styleId="TOC1">
    <w:name w:val="toc 1"/>
    <w:basedOn w:val="Normal"/>
    <w:next w:val="Normal"/>
    <w:autoRedefine/>
    <w:uiPriority w:val="39"/>
    <w:unhideWhenUsed/>
    <w:rsid w:val="002C2899"/>
  </w:style>
  <w:style w:type="paragraph" w:styleId="TOC2">
    <w:name w:val="toc 2"/>
    <w:basedOn w:val="Normal"/>
    <w:next w:val="Normal"/>
    <w:autoRedefine/>
    <w:uiPriority w:val="39"/>
    <w:unhideWhenUsed/>
    <w:rsid w:val="002C2899"/>
    <w:pPr>
      <w:ind w:left="220"/>
    </w:pPr>
  </w:style>
  <w:style w:type="character" w:styleId="Hyperlink">
    <w:name w:val="Hyperlink"/>
    <w:unhideWhenUsed/>
    <w:rsid w:val="002C2899"/>
    <w:rPr>
      <w:color w:val="0000FF"/>
      <w:u w:val="single"/>
    </w:rPr>
  </w:style>
  <w:style w:type="paragraph" w:styleId="FootnoteText">
    <w:name w:val="footnote text"/>
    <w:basedOn w:val="Normal"/>
    <w:link w:val="FootnoteTextChar"/>
    <w:unhideWhenUsed/>
    <w:rsid w:val="00401E80"/>
    <w:rPr>
      <w:sz w:val="20"/>
    </w:rPr>
  </w:style>
  <w:style w:type="character" w:customStyle="1" w:styleId="FootnoteTextChar">
    <w:name w:val="Footnote Text Char"/>
    <w:link w:val="FootnoteText"/>
    <w:rsid w:val="00401E80"/>
    <w:rPr>
      <w:rFonts w:ascii="Arial" w:hAnsi="Arial" w:cs="Arial"/>
    </w:rPr>
  </w:style>
  <w:style w:type="character" w:styleId="FootnoteReference">
    <w:name w:val="footnote reference"/>
    <w:unhideWhenUsed/>
    <w:rsid w:val="00401E80"/>
    <w:rPr>
      <w:vertAlign w:val="superscript"/>
    </w:rPr>
  </w:style>
  <w:style w:type="paragraph" w:styleId="TOCHeading">
    <w:name w:val="TOC Heading"/>
    <w:basedOn w:val="Heading1"/>
    <w:next w:val="Normal"/>
    <w:uiPriority w:val="39"/>
    <w:semiHidden/>
    <w:unhideWhenUsed/>
    <w:qFormat/>
    <w:rsid w:val="00E90E3C"/>
    <w:pPr>
      <w:keepNext/>
      <w:keepLines/>
      <w:numPr>
        <w:numId w:val="0"/>
      </w:numPr>
      <w:spacing w:before="480" w:after="0" w:line="276" w:lineRule="auto"/>
      <w:outlineLvl w:val="9"/>
    </w:pPr>
    <w:rPr>
      <w:rFonts w:ascii="Cambria" w:eastAsia="MS Gothic" w:hAnsi="Cambria"/>
      <w:b/>
      <w:bCs/>
      <w:color w:val="365F91"/>
      <w:sz w:val="28"/>
      <w:szCs w:val="28"/>
      <w:lang w:val="en-US" w:eastAsia="ja-JP"/>
    </w:rPr>
  </w:style>
  <w:style w:type="paragraph" w:styleId="TOC3">
    <w:name w:val="toc 3"/>
    <w:basedOn w:val="Normal"/>
    <w:next w:val="Normal"/>
    <w:autoRedefine/>
    <w:uiPriority w:val="39"/>
    <w:unhideWhenUsed/>
    <w:rsid w:val="00E90E3C"/>
    <w:pPr>
      <w:spacing w:after="100" w:line="276" w:lineRule="auto"/>
      <w:ind w:left="440"/>
    </w:pPr>
    <w:rPr>
      <w:rFonts w:ascii="Calibri" w:hAnsi="Calibri" w:cs="Times New Roman"/>
      <w:szCs w:val="22"/>
      <w:lang w:val="en-US" w:eastAsia="en-US"/>
    </w:rPr>
  </w:style>
  <w:style w:type="paragraph" w:styleId="TOC4">
    <w:name w:val="toc 4"/>
    <w:basedOn w:val="Normal"/>
    <w:next w:val="Normal"/>
    <w:autoRedefine/>
    <w:uiPriority w:val="39"/>
    <w:unhideWhenUsed/>
    <w:rsid w:val="00E90E3C"/>
    <w:pPr>
      <w:spacing w:after="100" w:line="276" w:lineRule="auto"/>
      <w:ind w:left="660"/>
    </w:pPr>
    <w:rPr>
      <w:rFonts w:ascii="Calibri" w:hAnsi="Calibri" w:cs="Times New Roman"/>
      <w:szCs w:val="22"/>
      <w:lang w:val="en-US" w:eastAsia="en-US"/>
    </w:rPr>
  </w:style>
  <w:style w:type="paragraph" w:styleId="TOC5">
    <w:name w:val="toc 5"/>
    <w:basedOn w:val="Normal"/>
    <w:next w:val="Normal"/>
    <w:autoRedefine/>
    <w:uiPriority w:val="39"/>
    <w:unhideWhenUsed/>
    <w:rsid w:val="00E90E3C"/>
    <w:pPr>
      <w:spacing w:after="100" w:line="276" w:lineRule="auto"/>
      <w:ind w:left="880"/>
    </w:pPr>
    <w:rPr>
      <w:rFonts w:ascii="Calibri" w:hAnsi="Calibri" w:cs="Times New Roman"/>
      <w:szCs w:val="22"/>
      <w:lang w:val="en-US" w:eastAsia="en-US"/>
    </w:rPr>
  </w:style>
  <w:style w:type="paragraph" w:styleId="TOC6">
    <w:name w:val="toc 6"/>
    <w:basedOn w:val="Normal"/>
    <w:next w:val="Normal"/>
    <w:autoRedefine/>
    <w:uiPriority w:val="39"/>
    <w:unhideWhenUsed/>
    <w:rsid w:val="00E90E3C"/>
    <w:pPr>
      <w:spacing w:after="100" w:line="276" w:lineRule="auto"/>
      <w:ind w:left="1100"/>
    </w:pPr>
    <w:rPr>
      <w:rFonts w:ascii="Calibri" w:hAnsi="Calibri" w:cs="Times New Roman"/>
      <w:szCs w:val="22"/>
      <w:lang w:val="en-US" w:eastAsia="en-US"/>
    </w:rPr>
  </w:style>
  <w:style w:type="paragraph" w:styleId="TOC7">
    <w:name w:val="toc 7"/>
    <w:basedOn w:val="Normal"/>
    <w:next w:val="Normal"/>
    <w:autoRedefine/>
    <w:uiPriority w:val="39"/>
    <w:unhideWhenUsed/>
    <w:rsid w:val="00E90E3C"/>
    <w:pPr>
      <w:spacing w:after="100" w:line="276" w:lineRule="auto"/>
      <w:ind w:left="1320"/>
    </w:pPr>
    <w:rPr>
      <w:rFonts w:ascii="Calibri" w:hAnsi="Calibri" w:cs="Times New Roman"/>
      <w:szCs w:val="22"/>
      <w:lang w:val="en-US" w:eastAsia="en-US"/>
    </w:rPr>
  </w:style>
  <w:style w:type="paragraph" w:styleId="TOC8">
    <w:name w:val="toc 8"/>
    <w:basedOn w:val="Normal"/>
    <w:next w:val="Normal"/>
    <w:autoRedefine/>
    <w:uiPriority w:val="39"/>
    <w:unhideWhenUsed/>
    <w:rsid w:val="00E90E3C"/>
    <w:pPr>
      <w:spacing w:after="100" w:line="276" w:lineRule="auto"/>
      <w:ind w:left="1540"/>
    </w:pPr>
    <w:rPr>
      <w:rFonts w:ascii="Calibri" w:hAnsi="Calibri" w:cs="Times New Roman"/>
      <w:szCs w:val="22"/>
      <w:lang w:val="en-US" w:eastAsia="en-US"/>
    </w:rPr>
  </w:style>
  <w:style w:type="paragraph" w:styleId="TOC9">
    <w:name w:val="toc 9"/>
    <w:basedOn w:val="Normal"/>
    <w:next w:val="Normal"/>
    <w:autoRedefine/>
    <w:uiPriority w:val="39"/>
    <w:unhideWhenUsed/>
    <w:rsid w:val="00E90E3C"/>
    <w:pPr>
      <w:spacing w:after="100" w:line="276" w:lineRule="auto"/>
      <w:ind w:left="1760"/>
    </w:pPr>
    <w:rPr>
      <w:rFonts w:ascii="Calibri" w:hAnsi="Calibri" w:cs="Times New Roman"/>
      <w:szCs w:val="22"/>
      <w:lang w:val="en-US" w:eastAsia="en-US"/>
    </w:rPr>
  </w:style>
  <w:style w:type="paragraph" w:styleId="BalloonText">
    <w:name w:val="Balloon Text"/>
    <w:basedOn w:val="Normal"/>
    <w:link w:val="BalloonTextChar"/>
    <w:uiPriority w:val="99"/>
    <w:semiHidden/>
    <w:unhideWhenUsed/>
    <w:rsid w:val="00E90E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0E3C"/>
    <w:rPr>
      <w:rFonts w:ascii="Tahoma" w:hAnsi="Tahoma" w:cs="Tahoma"/>
      <w:sz w:val="16"/>
      <w:szCs w:val="16"/>
      <w:lang w:val="en-NZ" w:eastAsia="en-NZ"/>
    </w:rPr>
  </w:style>
  <w:style w:type="table" w:styleId="TableGrid">
    <w:name w:val="Table Grid"/>
    <w:basedOn w:val="TableNormal"/>
    <w:uiPriority w:val="59"/>
    <w:rsid w:val="00AC1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4DAB"/>
    <w:pPr>
      <w:autoSpaceDE w:val="0"/>
      <w:autoSpaceDN w:val="0"/>
      <w:adjustRightInd w:val="0"/>
    </w:pPr>
    <w:rPr>
      <w:rFonts w:ascii="MS Reference Sans Serif" w:eastAsia="Calibri" w:hAnsi="MS Reference Sans Serif" w:cs="MS Reference Sans Serif"/>
      <w:color w:val="000000"/>
      <w:sz w:val="24"/>
      <w:szCs w:val="24"/>
      <w:lang w:val="en-GB" w:eastAsia="en-GB"/>
    </w:rPr>
  </w:style>
  <w:style w:type="character" w:styleId="CommentReference">
    <w:name w:val="annotation reference"/>
    <w:uiPriority w:val="99"/>
    <w:unhideWhenUsed/>
    <w:rsid w:val="00F54F3C"/>
    <w:rPr>
      <w:sz w:val="16"/>
      <w:szCs w:val="16"/>
    </w:rPr>
  </w:style>
  <w:style w:type="paragraph" w:styleId="CommentText">
    <w:name w:val="annotation text"/>
    <w:basedOn w:val="Normal"/>
    <w:link w:val="CommentTextChar"/>
    <w:uiPriority w:val="99"/>
    <w:unhideWhenUsed/>
    <w:rsid w:val="00F54F3C"/>
    <w:rPr>
      <w:sz w:val="20"/>
    </w:rPr>
  </w:style>
  <w:style w:type="character" w:customStyle="1" w:styleId="CommentTextChar">
    <w:name w:val="Comment Text Char"/>
    <w:link w:val="CommentText"/>
    <w:uiPriority w:val="99"/>
    <w:rsid w:val="00F54F3C"/>
    <w:rPr>
      <w:rFonts w:ascii="Arial" w:hAnsi="Arial" w:cs="Arial"/>
      <w:lang w:val="en-NZ" w:eastAsia="en-NZ"/>
    </w:rPr>
  </w:style>
  <w:style w:type="paragraph" w:styleId="CommentSubject">
    <w:name w:val="annotation subject"/>
    <w:basedOn w:val="CommentText"/>
    <w:next w:val="CommentText"/>
    <w:link w:val="CommentSubjectChar"/>
    <w:uiPriority w:val="99"/>
    <w:semiHidden/>
    <w:unhideWhenUsed/>
    <w:rsid w:val="00F54F3C"/>
    <w:rPr>
      <w:b/>
      <w:bCs/>
    </w:rPr>
  </w:style>
  <w:style w:type="character" w:customStyle="1" w:styleId="CommentSubjectChar">
    <w:name w:val="Comment Subject Char"/>
    <w:link w:val="CommentSubject"/>
    <w:uiPriority w:val="99"/>
    <w:semiHidden/>
    <w:rsid w:val="00F54F3C"/>
    <w:rPr>
      <w:rFonts w:ascii="Arial" w:hAnsi="Arial" w:cs="Arial"/>
      <w:b/>
      <w:bCs/>
      <w:lang w:val="en-NZ" w:eastAsia="en-NZ"/>
    </w:rPr>
  </w:style>
  <w:style w:type="paragraph" w:customStyle="1" w:styleId="TableText">
    <w:name w:val="Table Text"/>
    <w:basedOn w:val="BodyText"/>
    <w:qFormat/>
    <w:rsid w:val="00E239AE"/>
    <w:pPr>
      <w:tabs>
        <w:tab w:val="left" w:pos="567"/>
        <w:tab w:val="left" w:pos="851"/>
      </w:tabs>
      <w:spacing w:before="60" w:after="5" w:line="240" w:lineRule="auto"/>
    </w:pPr>
    <w:rPr>
      <w:rFonts w:cs="Times New Roman"/>
      <w:kern w:val="28"/>
      <w:sz w:val="20"/>
      <w:lang w:eastAsia="en-US"/>
    </w:rPr>
  </w:style>
  <w:style w:type="table" w:customStyle="1" w:styleId="BecaTableAccent1">
    <w:name w:val="Beca Table Accent 1"/>
    <w:basedOn w:val="TableNormal"/>
    <w:uiPriority w:val="99"/>
    <w:rsid w:val="00E239AE"/>
    <w:rPr>
      <w:rFonts w:ascii="Arial" w:hAnsi="Arial"/>
      <w:sz w:val="18"/>
    </w:rPr>
    <w:tblPr>
      <w:tblStyleRowBandSize w:val="1"/>
      <w:tblBorders>
        <w:bottom w:val="single" w:sz="4" w:space="0" w:color="013799"/>
        <w:insideH w:val="single" w:sz="4" w:space="0" w:color="013799"/>
        <w:insideV w:val="single" w:sz="4" w:space="0" w:color="013799"/>
      </w:tblBorders>
    </w:tblPr>
    <w:tcPr>
      <w:shd w:val="clear" w:color="auto" w:fill="FFFFFF"/>
    </w:tcPr>
    <w:tblStylePr w:type="firstRow">
      <w:pPr>
        <w:wordWrap/>
        <w:spacing w:beforeLines="0" w:before="120" w:beforeAutospacing="0" w:afterLines="0" w:after="120" w:afterAutospacing="0" w:line="260" w:lineRule="atLeast"/>
        <w:ind w:leftChars="0" w:left="0" w:rightChars="0" w:right="0" w:firstLineChars="0" w:firstLine="0"/>
        <w:contextualSpacing w:val="0"/>
        <w:jc w:val="left"/>
        <w:outlineLvl w:val="9"/>
      </w:pPr>
      <w:rPr>
        <w:rFonts w:ascii="Arial" w:hAnsi="Arial"/>
        <w:b/>
        <w:color w:val="FFFFFF"/>
        <w:sz w:val="18"/>
      </w:rPr>
      <w:tblPr/>
      <w:trPr>
        <w:tblHeader/>
      </w:trPr>
      <w:tcPr>
        <w:shd w:val="clear" w:color="auto" w:fill="013799"/>
      </w:tcPr>
    </w:tblStylePr>
    <w:tblStylePr w:type="band1Horz">
      <w:pPr>
        <w:wordWrap/>
        <w:spacing w:beforeLines="0" w:before="0" w:beforeAutospacing="0" w:afterLines="0" w:after="60" w:afterAutospacing="0" w:line="260" w:lineRule="atLeast"/>
      </w:pPr>
    </w:tblStylePr>
    <w:tblStylePr w:type="band2Horz">
      <w:pPr>
        <w:wordWrap/>
        <w:spacing w:beforeLines="0" w:before="0" w:beforeAutospacing="0" w:afterLines="0" w:after="60" w:afterAutospacing="0" w:line="260" w:lineRule="atLeast"/>
      </w:pPr>
    </w:tblStylePr>
  </w:style>
  <w:style w:type="paragraph" w:styleId="BodyText">
    <w:name w:val="Body Text"/>
    <w:basedOn w:val="Normal"/>
    <w:link w:val="BodyTextChar"/>
    <w:uiPriority w:val="99"/>
    <w:unhideWhenUsed/>
    <w:rsid w:val="00E239AE"/>
    <w:pPr>
      <w:spacing w:after="120"/>
    </w:pPr>
  </w:style>
  <w:style w:type="character" w:customStyle="1" w:styleId="BodyTextChar">
    <w:name w:val="Body Text Char"/>
    <w:link w:val="BodyText"/>
    <w:uiPriority w:val="99"/>
    <w:rsid w:val="00E239AE"/>
    <w:rPr>
      <w:rFonts w:ascii="Arial" w:hAnsi="Arial" w:cs="Arial"/>
      <w:sz w:val="22"/>
      <w:lang w:val="en-NZ" w:eastAsia="en-NZ"/>
    </w:rPr>
  </w:style>
  <w:style w:type="paragraph" w:styleId="NormalWeb">
    <w:name w:val="Normal (Web)"/>
    <w:basedOn w:val="Normal"/>
    <w:uiPriority w:val="99"/>
    <w:unhideWhenUsed/>
    <w:rsid w:val="007D258A"/>
    <w:pPr>
      <w:spacing w:before="100" w:beforeAutospacing="1" w:after="100" w:afterAutospacing="1" w:line="240" w:lineRule="auto"/>
    </w:pPr>
    <w:rPr>
      <w:rFonts w:ascii="Times New Roman" w:eastAsia="PMingLiU" w:hAnsi="Times New Roman" w:cs="Times New Roman"/>
      <w:sz w:val="24"/>
      <w:szCs w:val="24"/>
      <w:lang w:val="en-US" w:eastAsia="zh-TW"/>
    </w:rPr>
  </w:style>
  <w:style w:type="character" w:customStyle="1" w:styleId="apple-converted-space">
    <w:name w:val="apple-converted-space"/>
    <w:rsid w:val="007D258A"/>
  </w:style>
  <w:style w:type="character" w:styleId="Strong">
    <w:name w:val="Strong"/>
    <w:uiPriority w:val="22"/>
    <w:qFormat/>
    <w:rsid w:val="007D258A"/>
    <w:rPr>
      <w:b/>
      <w:bCs/>
    </w:rPr>
  </w:style>
  <w:style w:type="paragraph" w:customStyle="1" w:styleId="Heading2-nonumbers">
    <w:name w:val="Heading 2 - no numbers"/>
    <w:basedOn w:val="Heading2"/>
    <w:next w:val="BodyText"/>
    <w:qFormat/>
    <w:rsid w:val="004E1949"/>
    <w:pPr>
      <w:keepNext/>
      <w:numPr>
        <w:ilvl w:val="0"/>
        <w:numId w:val="0"/>
      </w:numPr>
      <w:tabs>
        <w:tab w:val="left" w:pos="567"/>
      </w:tabs>
      <w:spacing w:before="120" w:after="60" w:line="260" w:lineRule="atLeast"/>
    </w:pPr>
    <w:rPr>
      <w:b/>
      <w:color w:val="000000"/>
      <w:kern w:val="28"/>
      <w:lang w:val="en-GB" w:eastAsia="en-US"/>
    </w:rPr>
  </w:style>
  <w:style w:type="character" w:customStyle="1" w:styleId="Heading1Char">
    <w:name w:val="Heading 1 Char"/>
    <w:link w:val="Heading1"/>
    <w:uiPriority w:val="9"/>
    <w:rsid w:val="0058054F"/>
    <w:rPr>
      <w:rFonts w:ascii="Arial" w:hAnsi="Arial"/>
      <w:sz w:val="22"/>
    </w:rPr>
  </w:style>
  <w:style w:type="paragraph" w:styleId="ListBullet">
    <w:name w:val="List Bullet"/>
    <w:basedOn w:val="Normal"/>
    <w:link w:val="ListBulletChar"/>
    <w:qFormat/>
    <w:rsid w:val="00746A9D"/>
    <w:pPr>
      <w:numPr>
        <w:numId w:val="2"/>
      </w:numPr>
      <w:tabs>
        <w:tab w:val="left" w:pos="567"/>
        <w:tab w:val="left" w:pos="851"/>
      </w:tabs>
      <w:suppressAutoHyphens/>
      <w:spacing w:after="240" w:line="260" w:lineRule="atLeast"/>
      <w:contextualSpacing/>
    </w:pPr>
    <w:rPr>
      <w:rFonts w:cs="Times New Roman"/>
      <w:color w:val="000000"/>
      <w:sz w:val="20"/>
      <w:lang w:val="en-GB" w:eastAsia="en-US"/>
    </w:rPr>
  </w:style>
  <w:style w:type="character" w:customStyle="1" w:styleId="ListBulletChar">
    <w:name w:val="List Bullet Char"/>
    <w:link w:val="ListBullet"/>
    <w:rsid w:val="00746A9D"/>
    <w:rPr>
      <w:rFonts w:ascii="Arial" w:hAnsi="Arial"/>
      <w:color w:val="000000"/>
      <w:lang w:val="en-GB" w:eastAsia="en-US"/>
    </w:rPr>
  </w:style>
  <w:style w:type="paragraph" w:customStyle="1" w:styleId="TableHeading">
    <w:name w:val="Table Heading"/>
    <w:basedOn w:val="TableText"/>
    <w:next w:val="TableText"/>
    <w:qFormat/>
    <w:rsid w:val="00746F63"/>
    <w:pPr>
      <w:spacing w:before="120" w:after="120"/>
    </w:pPr>
    <w:rPr>
      <w:b/>
      <w:color w:val="FFFFFF"/>
      <w:lang w:val="en-US"/>
    </w:rPr>
  </w:style>
  <w:style w:type="paragraph" w:styleId="ListParagraph">
    <w:name w:val="List Paragraph"/>
    <w:basedOn w:val="Normal"/>
    <w:uiPriority w:val="34"/>
    <w:qFormat/>
    <w:rsid w:val="002C20A4"/>
    <w:pPr>
      <w:numPr>
        <w:numId w:val="7"/>
      </w:numPr>
      <w:autoSpaceDE w:val="0"/>
      <w:autoSpaceDN w:val="0"/>
      <w:adjustRightInd w:val="0"/>
      <w:spacing w:after="120"/>
    </w:pPr>
    <w:rPr>
      <w:sz w:val="20"/>
      <w:lang w:val="en-GB" w:eastAsia="en-US"/>
    </w:rPr>
  </w:style>
  <w:style w:type="character" w:styleId="Emphasis">
    <w:name w:val="Emphasis"/>
    <w:uiPriority w:val="20"/>
    <w:qFormat/>
    <w:rsid w:val="00C479A0"/>
    <w:rPr>
      <w:i/>
      <w:iCs/>
    </w:rPr>
  </w:style>
  <w:style w:type="table" w:customStyle="1" w:styleId="BecaTable">
    <w:name w:val="Beca Table"/>
    <w:basedOn w:val="TableNormal"/>
    <w:rsid w:val="00F81C8A"/>
    <w:pPr>
      <w:tabs>
        <w:tab w:val="left" w:pos="425"/>
      </w:tabs>
      <w:suppressAutoHyphens/>
      <w:spacing w:before="60" w:after="60"/>
      <w:contextualSpacing/>
    </w:pPr>
    <w:rPr>
      <w:rFonts w:ascii="Arial" w:hAnsi="Arial"/>
    </w:rPr>
    <w:tblPr>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sz w:val="20"/>
        <w:u w:val="none"/>
        <w:vertAlign w:val="baseline"/>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paragraph" w:customStyle="1" w:styleId="BillBullet">
    <w:name w:val="BillBullet"/>
    <w:basedOn w:val="Normal"/>
    <w:rsid w:val="00B02A14"/>
    <w:pPr>
      <w:numPr>
        <w:numId w:val="3"/>
      </w:numPr>
      <w:tabs>
        <w:tab w:val="clear" w:pos="360"/>
        <w:tab w:val="left" w:pos="284"/>
      </w:tabs>
      <w:spacing w:after="0" w:line="240" w:lineRule="auto"/>
    </w:pPr>
    <w:rPr>
      <w:rFonts w:cs="Times New Roman"/>
      <w:lang w:val="en-GB" w:eastAsia="ko-KR"/>
    </w:rPr>
  </w:style>
  <w:style w:type="character" w:customStyle="1" w:styleId="label1">
    <w:name w:val="label1"/>
    <w:rsid w:val="00F0320D"/>
  </w:style>
  <w:style w:type="character" w:customStyle="1" w:styleId="label2">
    <w:name w:val="label2"/>
    <w:rsid w:val="00F0320D"/>
  </w:style>
  <w:style w:type="character" w:customStyle="1" w:styleId="label3">
    <w:name w:val="label3"/>
    <w:rsid w:val="00F0320D"/>
  </w:style>
  <w:style w:type="paragraph" w:customStyle="1" w:styleId="subprov1">
    <w:name w:val="subprov1"/>
    <w:basedOn w:val="Normal"/>
    <w:rsid w:val="00F0320D"/>
    <w:pPr>
      <w:spacing w:before="83" w:after="216" w:line="288" w:lineRule="atLeast"/>
    </w:pPr>
    <w:rPr>
      <w:rFonts w:ascii="Times New Roman" w:hAnsi="Times New Roman" w:cs="Times New Roman"/>
      <w:sz w:val="24"/>
      <w:szCs w:val="24"/>
      <w:lang w:val="en-US" w:eastAsia="en-US"/>
    </w:rPr>
  </w:style>
  <w:style w:type="character" w:customStyle="1" w:styleId="insertwords">
    <w:name w:val="insertwords"/>
    <w:rsid w:val="00F0320D"/>
  </w:style>
  <w:style w:type="paragraph" w:styleId="EndnoteText">
    <w:name w:val="endnote text"/>
    <w:basedOn w:val="Normal"/>
    <w:link w:val="EndnoteTextChar"/>
    <w:uiPriority w:val="99"/>
    <w:semiHidden/>
    <w:unhideWhenUsed/>
    <w:rsid w:val="0055435B"/>
    <w:rPr>
      <w:sz w:val="20"/>
    </w:rPr>
  </w:style>
  <w:style w:type="character" w:customStyle="1" w:styleId="EndnoteTextChar">
    <w:name w:val="Endnote Text Char"/>
    <w:link w:val="EndnoteText"/>
    <w:uiPriority w:val="99"/>
    <w:semiHidden/>
    <w:rsid w:val="0055435B"/>
    <w:rPr>
      <w:rFonts w:ascii="Arial" w:hAnsi="Arial" w:cs="Arial"/>
      <w:lang w:val="en-NZ" w:eastAsia="en-NZ"/>
    </w:rPr>
  </w:style>
  <w:style w:type="character" w:styleId="EndnoteReference">
    <w:name w:val="endnote reference"/>
    <w:uiPriority w:val="99"/>
    <w:semiHidden/>
    <w:unhideWhenUsed/>
    <w:rsid w:val="0055435B"/>
    <w:rPr>
      <w:vertAlign w:val="superscript"/>
    </w:rPr>
  </w:style>
  <w:style w:type="character" w:customStyle="1" w:styleId="Heading2Char">
    <w:name w:val="Heading 2 Char"/>
    <w:link w:val="Heading2"/>
    <w:rsid w:val="00BE032B"/>
    <w:rPr>
      <w:rFonts w:ascii="Arial" w:hAnsi="Arial"/>
      <w:sz w:val="22"/>
    </w:rPr>
  </w:style>
  <w:style w:type="paragraph" w:customStyle="1" w:styleId="Tablebullet">
    <w:name w:val="Table bullet"/>
    <w:basedOn w:val="Normal"/>
    <w:qFormat/>
    <w:rsid w:val="00BE032B"/>
    <w:pPr>
      <w:numPr>
        <w:numId w:val="4"/>
      </w:numPr>
      <w:tabs>
        <w:tab w:val="left" w:pos="284"/>
        <w:tab w:val="left" w:pos="425"/>
      </w:tabs>
      <w:suppressAutoHyphens/>
      <w:spacing w:before="10" w:after="10" w:line="240" w:lineRule="auto"/>
    </w:pPr>
    <w:rPr>
      <w:rFonts w:cs="Times New Roman"/>
      <w:sz w:val="20"/>
      <w:lang w:eastAsia="en-US"/>
    </w:rPr>
  </w:style>
  <w:style w:type="paragraph" w:customStyle="1" w:styleId="Outline1">
    <w:name w:val="Outline 1"/>
    <w:basedOn w:val="BodyText"/>
    <w:next w:val="Outline2"/>
    <w:qFormat/>
    <w:rsid w:val="006B1574"/>
    <w:pPr>
      <w:keepNext/>
      <w:numPr>
        <w:numId w:val="8"/>
      </w:numPr>
      <w:spacing w:after="240"/>
      <w:outlineLvl w:val="0"/>
    </w:pPr>
    <w:rPr>
      <w:b/>
      <w:sz w:val="24"/>
      <w:lang w:eastAsia="en-US"/>
    </w:rPr>
  </w:style>
  <w:style w:type="paragraph" w:customStyle="1" w:styleId="Outline2">
    <w:name w:val="Outline 2"/>
    <w:basedOn w:val="BodyText"/>
    <w:qFormat/>
    <w:rsid w:val="006B1574"/>
    <w:pPr>
      <w:numPr>
        <w:ilvl w:val="1"/>
        <w:numId w:val="8"/>
      </w:numPr>
      <w:spacing w:after="240"/>
    </w:pPr>
    <w:rPr>
      <w:sz w:val="20"/>
      <w:lang w:eastAsia="en-US"/>
    </w:rPr>
  </w:style>
  <w:style w:type="paragraph" w:customStyle="1" w:styleId="Outline3">
    <w:name w:val="Outline 3"/>
    <w:basedOn w:val="BodyText"/>
    <w:qFormat/>
    <w:rsid w:val="006B1574"/>
    <w:pPr>
      <w:numPr>
        <w:ilvl w:val="2"/>
        <w:numId w:val="8"/>
      </w:numPr>
      <w:spacing w:after="240"/>
    </w:pPr>
    <w:rPr>
      <w:sz w:val="20"/>
      <w:lang w:eastAsia="en-US"/>
    </w:rPr>
  </w:style>
  <w:style w:type="paragraph" w:customStyle="1" w:styleId="Outline4">
    <w:name w:val="Outline 4"/>
    <w:basedOn w:val="BodyText"/>
    <w:qFormat/>
    <w:rsid w:val="006B1574"/>
    <w:pPr>
      <w:numPr>
        <w:ilvl w:val="3"/>
        <w:numId w:val="8"/>
      </w:numPr>
      <w:spacing w:after="240"/>
    </w:pPr>
    <w:rPr>
      <w:sz w:val="20"/>
      <w:lang w:eastAsia="en-US"/>
    </w:rPr>
  </w:style>
  <w:style w:type="paragraph" w:customStyle="1" w:styleId="Outline5">
    <w:name w:val="Outline 5"/>
    <w:basedOn w:val="BodyText"/>
    <w:qFormat/>
    <w:rsid w:val="006B1574"/>
    <w:pPr>
      <w:numPr>
        <w:ilvl w:val="4"/>
        <w:numId w:val="8"/>
      </w:numPr>
      <w:spacing w:after="240"/>
    </w:pPr>
    <w:rPr>
      <w:sz w:val="20"/>
      <w:lang w:eastAsia="en-US"/>
    </w:rPr>
  </w:style>
  <w:style w:type="table" w:customStyle="1" w:styleId="TableGrid1">
    <w:name w:val="Table Grid1"/>
    <w:basedOn w:val="TableNormal"/>
    <w:next w:val="TableGrid"/>
    <w:uiPriority w:val="59"/>
    <w:rsid w:val="00EA0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3">
    <w:name w:val="Style33"/>
    <w:basedOn w:val="Normal"/>
    <w:qFormat/>
    <w:rsid w:val="00E051C1"/>
    <w:pPr>
      <w:spacing w:after="0" w:line="240" w:lineRule="auto"/>
    </w:pPr>
    <w:rPr>
      <w:rFonts w:ascii="Calibri" w:eastAsiaTheme="minorHAnsi" w:hAnsi="Calibri" w:cs="Calibri"/>
      <w:bCs/>
      <w:sz w:val="18"/>
      <w:lang w:eastAsia="en-US"/>
    </w:rPr>
  </w:style>
  <w:style w:type="character" w:customStyle="1" w:styleId="FooterChar">
    <w:name w:val="Footer Char"/>
    <w:basedOn w:val="DefaultParagraphFont"/>
    <w:link w:val="Footer"/>
    <w:uiPriority w:val="99"/>
    <w:rsid w:val="009511A9"/>
    <w:rPr>
      <w:rFonts w:ascii="Arial" w:hAnsi="Arial" w:cs="Arial"/>
      <w:sz w:val="22"/>
    </w:rPr>
  </w:style>
  <w:style w:type="character" w:styleId="UnresolvedMention">
    <w:name w:val="Unresolved Mention"/>
    <w:basedOn w:val="DefaultParagraphFont"/>
    <w:uiPriority w:val="99"/>
    <w:semiHidden/>
    <w:unhideWhenUsed/>
    <w:rsid w:val="00DC7E22"/>
    <w:rPr>
      <w:color w:val="605E5C"/>
      <w:shd w:val="clear" w:color="auto" w:fill="E1DFDD"/>
    </w:rPr>
  </w:style>
  <w:style w:type="character" w:styleId="FollowedHyperlink">
    <w:name w:val="FollowedHyperlink"/>
    <w:basedOn w:val="DefaultParagraphFont"/>
    <w:uiPriority w:val="99"/>
    <w:semiHidden/>
    <w:unhideWhenUsed/>
    <w:rsid w:val="00DC7E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847492">
      <w:bodyDiv w:val="1"/>
      <w:marLeft w:val="0"/>
      <w:marRight w:val="0"/>
      <w:marTop w:val="0"/>
      <w:marBottom w:val="0"/>
      <w:divBdr>
        <w:top w:val="none" w:sz="0" w:space="0" w:color="auto"/>
        <w:left w:val="none" w:sz="0" w:space="0" w:color="auto"/>
        <w:bottom w:val="none" w:sz="0" w:space="0" w:color="auto"/>
        <w:right w:val="none" w:sz="0" w:space="0" w:color="auto"/>
      </w:divBdr>
    </w:div>
    <w:div w:id="143477765">
      <w:bodyDiv w:val="1"/>
      <w:marLeft w:val="0"/>
      <w:marRight w:val="0"/>
      <w:marTop w:val="0"/>
      <w:marBottom w:val="0"/>
      <w:divBdr>
        <w:top w:val="none" w:sz="0" w:space="0" w:color="auto"/>
        <w:left w:val="none" w:sz="0" w:space="0" w:color="auto"/>
        <w:bottom w:val="none" w:sz="0" w:space="0" w:color="auto"/>
        <w:right w:val="none" w:sz="0" w:space="0" w:color="auto"/>
      </w:divBdr>
    </w:div>
    <w:div w:id="164982290">
      <w:bodyDiv w:val="1"/>
      <w:marLeft w:val="0"/>
      <w:marRight w:val="0"/>
      <w:marTop w:val="0"/>
      <w:marBottom w:val="0"/>
      <w:divBdr>
        <w:top w:val="none" w:sz="0" w:space="0" w:color="auto"/>
        <w:left w:val="none" w:sz="0" w:space="0" w:color="auto"/>
        <w:bottom w:val="none" w:sz="0" w:space="0" w:color="auto"/>
        <w:right w:val="none" w:sz="0" w:space="0" w:color="auto"/>
      </w:divBdr>
    </w:div>
    <w:div w:id="268322379">
      <w:bodyDiv w:val="1"/>
      <w:marLeft w:val="0"/>
      <w:marRight w:val="0"/>
      <w:marTop w:val="0"/>
      <w:marBottom w:val="0"/>
      <w:divBdr>
        <w:top w:val="none" w:sz="0" w:space="0" w:color="auto"/>
        <w:left w:val="none" w:sz="0" w:space="0" w:color="auto"/>
        <w:bottom w:val="none" w:sz="0" w:space="0" w:color="auto"/>
        <w:right w:val="none" w:sz="0" w:space="0" w:color="auto"/>
      </w:divBdr>
    </w:div>
    <w:div w:id="271401949">
      <w:bodyDiv w:val="1"/>
      <w:marLeft w:val="0"/>
      <w:marRight w:val="0"/>
      <w:marTop w:val="0"/>
      <w:marBottom w:val="0"/>
      <w:divBdr>
        <w:top w:val="none" w:sz="0" w:space="0" w:color="auto"/>
        <w:left w:val="none" w:sz="0" w:space="0" w:color="auto"/>
        <w:bottom w:val="none" w:sz="0" w:space="0" w:color="auto"/>
        <w:right w:val="none" w:sz="0" w:space="0" w:color="auto"/>
      </w:divBdr>
    </w:div>
    <w:div w:id="294256790">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423654179">
      <w:bodyDiv w:val="1"/>
      <w:marLeft w:val="0"/>
      <w:marRight w:val="0"/>
      <w:marTop w:val="0"/>
      <w:marBottom w:val="0"/>
      <w:divBdr>
        <w:top w:val="none" w:sz="0" w:space="0" w:color="auto"/>
        <w:left w:val="none" w:sz="0" w:space="0" w:color="auto"/>
        <w:bottom w:val="none" w:sz="0" w:space="0" w:color="auto"/>
        <w:right w:val="none" w:sz="0" w:space="0" w:color="auto"/>
      </w:divBdr>
    </w:div>
    <w:div w:id="475804793">
      <w:bodyDiv w:val="1"/>
      <w:marLeft w:val="0"/>
      <w:marRight w:val="0"/>
      <w:marTop w:val="0"/>
      <w:marBottom w:val="0"/>
      <w:divBdr>
        <w:top w:val="none" w:sz="0" w:space="0" w:color="auto"/>
        <w:left w:val="none" w:sz="0" w:space="0" w:color="auto"/>
        <w:bottom w:val="none" w:sz="0" w:space="0" w:color="auto"/>
        <w:right w:val="none" w:sz="0" w:space="0" w:color="auto"/>
      </w:divBdr>
    </w:div>
    <w:div w:id="493843376">
      <w:bodyDiv w:val="1"/>
      <w:marLeft w:val="0"/>
      <w:marRight w:val="0"/>
      <w:marTop w:val="0"/>
      <w:marBottom w:val="0"/>
      <w:divBdr>
        <w:top w:val="none" w:sz="0" w:space="0" w:color="auto"/>
        <w:left w:val="none" w:sz="0" w:space="0" w:color="auto"/>
        <w:bottom w:val="none" w:sz="0" w:space="0" w:color="auto"/>
        <w:right w:val="none" w:sz="0" w:space="0" w:color="auto"/>
      </w:divBdr>
    </w:div>
    <w:div w:id="496919319">
      <w:bodyDiv w:val="1"/>
      <w:marLeft w:val="0"/>
      <w:marRight w:val="0"/>
      <w:marTop w:val="0"/>
      <w:marBottom w:val="0"/>
      <w:divBdr>
        <w:top w:val="none" w:sz="0" w:space="0" w:color="auto"/>
        <w:left w:val="none" w:sz="0" w:space="0" w:color="auto"/>
        <w:bottom w:val="none" w:sz="0" w:space="0" w:color="auto"/>
        <w:right w:val="none" w:sz="0" w:space="0" w:color="auto"/>
      </w:divBdr>
    </w:div>
    <w:div w:id="503786754">
      <w:bodyDiv w:val="1"/>
      <w:marLeft w:val="0"/>
      <w:marRight w:val="0"/>
      <w:marTop w:val="0"/>
      <w:marBottom w:val="0"/>
      <w:divBdr>
        <w:top w:val="none" w:sz="0" w:space="0" w:color="auto"/>
        <w:left w:val="none" w:sz="0" w:space="0" w:color="auto"/>
        <w:bottom w:val="none" w:sz="0" w:space="0" w:color="auto"/>
        <w:right w:val="none" w:sz="0" w:space="0" w:color="auto"/>
      </w:divBdr>
      <w:divsChild>
        <w:div w:id="988635470">
          <w:marLeft w:val="0"/>
          <w:marRight w:val="0"/>
          <w:marTop w:val="0"/>
          <w:marBottom w:val="0"/>
          <w:divBdr>
            <w:top w:val="none" w:sz="0" w:space="0" w:color="auto"/>
            <w:left w:val="none" w:sz="0" w:space="0" w:color="auto"/>
            <w:bottom w:val="none" w:sz="0" w:space="0" w:color="auto"/>
            <w:right w:val="none" w:sz="0" w:space="0" w:color="auto"/>
          </w:divBdr>
          <w:divsChild>
            <w:div w:id="1753163300">
              <w:marLeft w:val="0"/>
              <w:marRight w:val="0"/>
              <w:marTop w:val="0"/>
              <w:marBottom w:val="0"/>
              <w:divBdr>
                <w:top w:val="none" w:sz="0" w:space="0" w:color="auto"/>
                <w:left w:val="none" w:sz="0" w:space="0" w:color="auto"/>
                <w:bottom w:val="none" w:sz="0" w:space="0" w:color="auto"/>
                <w:right w:val="none" w:sz="0" w:space="0" w:color="auto"/>
              </w:divBdr>
              <w:divsChild>
                <w:div w:id="943028585">
                  <w:marLeft w:val="0"/>
                  <w:marRight w:val="0"/>
                  <w:marTop w:val="105"/>
                  <w:marBottom w:val="0"/>
                  <w:divBdr>
                    <w:top w:val="none" w:sz="0" w:space="0" w:color="auto"/>
                    <w:left w:val="none" w:sz="0" w:space="0" w:color="auto"/>
                    <w:bottom w:val="none" w:sz="0" w:space="0" w:color="auto"/>
                    <w:right w:val="none" w:sz="0" w:space="0" w:color="auto"/>
                  </w:divBdr>
                  <w:divsChild>
                    <w:div w:id="1379940567">
                      <w:marLeft w:val="450"/>
                      <w:marRight w:val="225"/>
                      <w:marTop w:val="0"/>
                      <w:marBottom w:val="0"/>
                      <w:divBdr>
                        <w:top w:val="none" w:sz="0" w:space="0" w:color="auto"/>
                        <w:left w:val="none" w:sz="0" w:space="0" w:color="auto"/>
                        <w:bottom w:val="none" w:sz="0" w:space="0" w:color="auto"/>
                        <w:right w:val="none" w:sz="0" w:space="0" w:color="auto"/>
                      </w:divBdr>
                      <w:divsChild>
                        <w:div w:id="1082528104">
                          <w:marLeft w:val="0"/>
                          <w:marRight w:val="0"/>
                          <w:marTop w:val="0"/>
                          <w:marBottom w:val="600"/>
                          <w:divBdr>
                            <w:top w:val="single" w:sz="6" w:space="0" w:color="314664"/>
                            <w:left w:val="single" w:sz="6" w:space="0" w:color="314664"/>
                            <w:bottom w:val="single" w:sz="6" w:space="0" w:color="314664"/>
                            <w:right w:val="single" w:sz="6" w:space="0" w:color="314664"/>
                          </w:divBdr>
                          <w:divsChild>
                            <w:div w:id="222176934">
                              <w:marLeft w:val="0"/>
                              <w:marRight w:val="0"/>
                              <w:marTop w:val="0"/>
                              <w:marBottom w:val="0"/>
                              <w:divBdr>
                                <w:top w:val="none" w:sz="0" w:space="0" w:color="auto"/>
                                <w:left w:val="none" w:sz="0" w:space="0" w:color="auto"/>
                                <w:bottom w:val="none" w:sz="0" w:space="0" w:color="auto"/>
                                <w:right w:val="none" w:sz="0" w:space="0" w:color="auto"/>
                              </w:divBdr>
                              <w:divsChild>
                                <w:div w:id="673073114">
                                  <w:marLeft w:val="0"/>
                                  <w:marRight w:val="0"/>
                                  <w:marTop w:val="0"/>
                                  <w:marBottom w:val="0"/>
                                  <w:divBdr>
                                    <w:top w:val="none" w:sz="0" w:space="0" w:color="auto"/>
                                    <w:left w:val="none" w:sz="0" w:space="0" w:color="auto"/>
                                    <w:bottom w:val="none" w:sz="0" w:space="0" w:color="auto"/>
                                    <w:right w:val="none" w:sz="0" w:space="0" w:color="auto"/>
                                  </w:divBdr>
                                  <w:divsChild>
                                    <w:div w:id="1150514308">
                                      <w:marLeft w:val="0"/>
                                      <w:marRight w:val="0"/>
                                      <w:marTop w:val="0"/>
                                      <w:marBottom w:val="0"/>
                                      <w:divBdr>
                                        <w:top w:val="none" w:sz="0" w:space="0" w:color="auto"/>
                                        <w:left w:val="none" w:sz="0" w:space="0" w:color="auto"/>
                                        <w:bottom w:val="none" w:sz="0" w:space="0" w:color="auto"/>
                                        <w:right w:val="none" w:sz="0" w:space="0" w:color="auto"/>
                                      </w:divBdr>
                                      <w:divsChild>
                                        <w:div w:id="1974214133">
                                          <w:marLeft w:val="0"/>
                                          <w:marRight w:val="0"/>
                                          <w:marTop w:val="0"/>
                                          <w:marBottom w:val="0"/>
                                          <w:divBdr>
                                            <w:top w:val="none" w:sz="0" w:space="0" w:color="auto"/>
                                            <w:left w:val="none" w:sz="0" w:space="0" w:color="auto"/>
                                            <w:bottom w:val="none" w:sz="0" w:space="0" w:color="auto"/>
                                            <w:right w:val="none" w:sz="0" w:space="0" w:color="auto"/>
                                          </w:divBdr>
                                          <w:divsChild>
                                            <w:div w:id="696274098">
                                              <w:marLeft w:val="0"/>
                                              <w:marRight w:val="0"/>
                                              <w:marTop w:val="0"/>
                                              <w:marBottom w:val="0"/>
                                              <w:divBdr>
                                                <w:top w:val="none" w:sz="0" w:space="0" w:color="auto"/>
                                                <w:left w:val="none" w:sz="0" w:space="0" w:color="auto"/>
                                                <w:bottom w:val="none" w:sz="0" w:space="0" w:color="auto"/>
                                                <w:right w:val="none" w:sz="0" w:space="0" w:color="auto"/>
                                              </w:divBdr>
                                              <w:divsChild>
                                                <w:div w:id="560871532">
                                                  <w:marLeft w:val="0"/>
                                                  <w:marRight w:val="0"/>
                                                  <w:marTop w:val="0"/>
                                                  <w:marBottom w:val="0"/>
                                                  <w:divBdr>
                                                    <w:top w:val="none" w:sz="0" w:space="0" w:color="auto"/>
                                                    <w:left w:val="none" w:sz="0" w:space="0" w:color="auto"/>
                                                    <w:bottom w:val="none" w:sz="0" w:space="0" w:color="auto"/>
                                                    <w:right w:val="none" w:sz="0" w:space="0" w:color="auto"/>
                                                  </w:divBdr>
                                                  <w:divsChild>
                                                    <w:div w:id="345209412">
                                                      <w:marLeft w:val="0"/>
                                                      <w:marRight w:val="0"/>
                                                      <w:marTop w:val="0"/>
                                                      <w:marBottom w:val="0"/>
                                                      <w:divBdr>
                                                        <w:top w:val="none" w:sz="0" w:space="0" w:color="auto"/>
                                                        <w:left w:val="none" w:sz="0" w:space="0" w:color="auto"/>
                                                        <w:bottom w:val="none" w:sz="0" w:space="0" w:color="auto"/>
                                                        <w:right w:val="none" w:sz="0" w:space="0" w:color="auto"/>
                                                      </w:divBdr>
                                                      <w:divsChild>
                                                        <w:div w:id="1786658828">
                                                          <w:marLeft w:val="0"/>
                                                          <w:marRight w:val="0"/>
                                                          <w:marTop w:val="0"/>
                                                          <w:marBottom w:val="0"/>
                                                          <w:divBdr>
                                                            <w:top w:val="none" w:sz="0" w:space="0" w:color="auto"/>
                                                            <w:left w:val="none" w:sz="0" w:space="0" w:color="auto"/>
                                                            <w:bottom w:val="none" w:sz="0" w:space="0" w:color="auto"/>
                                                            <w:right w:val="none" w:sz="0" w:space="0" w:color="auto"/>
                                                          </w:divBdr>
                                                          <w:divsChild>
                                                            <w:div w:id="1523007071">
                                                              <w:marLeft w:val="0"/>
                                                              <w:marRight w:val="0"/>
                                                              <w:marTop w:val="0"/>
                                                              <w:marBottom w:val="0"/>
                                                              <w:divBdr>
                                                                <w:top w:val="none" w:sz="0" w:space="0" w:color="auto"/>
                                                                <w:left w:val="none" w:sz="0" w:space="0" w:color="auto"/>
                                                                <w:bottom w:val="none" w:sz="0" w:space="0" w:color="auto"/>
                                                                <w:right w:val="none" w:sz="0" w:space="0" w:color="auto"/>
                                                              </w:divBdr>
                                                              <w:divsChild>
                                                                <w:div w:id="1646621349">
                                                                  <w:marLeft w:val="0"/>
                                                                  <w:marRight w:val="0"/>
                                                                  <w:marTop w:val="83"/>
                                                                  <w:marBottom w:val="0"/>
                                                                  <w:divBdr>
                                                                    <w:top w:val="none" w:sz="0" w:space="0" w:color="auto"/>
                                                                    <w:left w:val="none" w:sz="0" w:space="0" w:color="auto"/>
                                                                    <w:bottom w:val="none" w:sz="0" w:space="0" w:color="auto"/>
                                                                    <w:right w:val="none" w:sz="0" w:space="0" w:color="auto"/>
                                                                  </w:divBdr>
                                                                  <w:divsChild>
                                                                    <w:div w:id="521209206">
                                                                      <w:marLeft w:val="0"/>
                                                                      <w:marRight w:val="0"/>
                                                                      <w:marTop w:val="0"/>
                                                                      <w:marBottom w:val="0"/>
                                                                      <w:divBdr>
                                                                        <w:top w:val="none" w:sz="0" w:space="0" w:color="auto"/>
                                                                        <w:left w:val="none" w:sz="0" w:space="0" w:color="auto"/>
                                                                        <w:bottom w:val="none" w:sz="0" w:space="0" w:color="auto"/>
                                                                        <w:right w:val="none" w:sz="0" w:space="0" w:color="auto"/>
                                                                      </w:divBdr>
                                                                      <w:divsChild>
                                                                        <w:div w:id="1814130943">
                                                                          <w:marLeft w:val="0"/>
                                                                          <w:marRight w:val="0"/>
                                                                          <w:marTop w:val="83"/>
                                                                          <w:marBottom w:val="0"/>
                                                                          <w:divBdr>
                                                                            <w:top w:val="none" w:sz="0" w:space="0" w:color="auto"/>
                                                                            <w:left w:val="none" w:sz="0" w:space="0" w:color="auto"/>
                                                                            <w:bottom w:val="none" w:sz="0" w:space="0" w:color="auto"/>
                                                                            <w:right w:val="none" w:sz="0" w:space="0" w:color="auto"/>
                                                                          </w:divBdr>
                                                                        </w:div>
                                                                      </w:divsChild>
                                                                    </w:div>
                                                                    <w:div w:id="1290627816">
                                                                      <w:marLeft w:val="0"/>
                                                                      <w:marRight w:val="0"/>
                                                                      <w:marTop w:val="0"/>
                                                                      <w:marBottom w:val="0"/>
                                                                      <w:divBdr>
                                                                        <w:top w:val="none" w:sz="0" w:space="0" w:color="auto"/>
                                                                        <w:left w:val="none" w:sz="0" w:space="0" w:color="auto"/>
                                                                        <w:bottom w:val="none" w:sz="0" w:space="0" w:color="auto"/>
                                                                        <w:right w:val="none" w:sz="0" w:space="0" w:color="auto"/>
                                                                      </w:divBdr>
                                                                      <w:divsChild>
                                                                        <w:div w:id="404686263">
                                                                          <w:marLeft w:val="0"/>
                                                                          <w:marRight w:val="0"/>
                                                                          <w:marTop w:val="83"/>
                                                                          <w:marBottom w:val="0"/>
                                                                          <w:divBdr>
                                                                            <w:top w:val="none" w:sz="0" w:space="0" w:color="auto"/>
                                                                            <w:left w:val="none" w:sz="0" w:space="0" w:color="auto"/>
                                                                            <w:bottom w:val="none" w:sz="0" w:space="0" w:color="auto"/>
                                                                            <w:right w:val="none" w:sz="0" w:space="0" w:color="auto"/>
                                                                          </w:divBdr>
                                                                        </w:div>
                                                                      </w:divsChild>
                                                                    </w:div>
                                                                    <w:div w:id="1865049201">
                                                                      <w:marLeft w:val="0"/>
                                                                      <w:marRight w:val="0"/>
                                                                      <w:marTop w:val="0"/>
                                                                      <w:marBottom w:val="0"/>
                                                                      <w:divBdr>
                                                                        <w:top w:val="none" w:sz="0" w:space="0" w:color="auto"/>
                                                                        <w:left w:val="none" w:sz="0" w:space="0" w:color="auto"/>
                                                                        <w:bottom w:val="none" w:sz="0" w:space="0" w:color="auto"/>
                                                                        <w:right w:val="none" w:sz="0" w:space="0" w:color="auto"/>
                                                                      </w:divBdr>
                                                                      <w:divsChild>
                                                                        <w:div w:id="1887137305">
                                                                          <w:marLeft w:val="0"/>
                                                                          <w:marRight w:val="0"/>
                                                                          <w:marTop w:val="83"/>
                                                                          <w:marBottom w:val="0"/>
                                                                          <w:divBdr>
                                                                            <w:top w:val="none" w:sz="0" w:space="0" w:color="auto"/>
                                                                            <w:left w:val="none" w:sz="0" w:space="0" w:color="auto"/>
                                                                            <w:bottom w:val="none" w:sz="0" w:space="0" w:color="auto"/>
                                                                            <w:right w:val="none" w:sz="0" w:space="0" w:color="auto"/>
                                                                          </w:divBdr>
                                                                          <w:divsChild>
                                                                            <w:div w:id="1001935460">
                                                                              <w:marLeft w:val="0"/>
                                                                              <w:marRight w:val="0"/>
                                                                              <w:marTop w:val="0"/>
                                                                              <w:marBottom w:val="0"/>
                                                                              <w:divBdr>
                                                                                <w:top w:val="none" w:sz="0" w:space="0" w:color="auto"/>
                                                                                <w:left w:val="none" w:sz="0" w:space="0" w:color="auto"/>
                                                                                <w:bottom w:val="none" w:sz="0" w:space="0" w:color="auto"/>
                                                                                <w:right w:val="none" w:sz="0" w:space="0" w:color="auto"/>
                                                                              </w:divBdr>
                                                                              <w:divsChild>
                                                                                <w:div w:id="149755523">
                                                                                  <w:marLeft w:val="0"/>
                                                                                  <w:marRight w:val="0"/>
                                                                                  <w:marTop w:val="83"/>
                                                                                  <w:marBottom w:val="0"/>
                                                                                  <w:divBdr>
                                                                                    <w:top w:val="none" w:sz="0" w:space="0" w:color="auto"/>
                                                                                    <w:left w:val="none" w:sz="0" w:space="0" w:color="auto"/>
                                                                                    <w:bottom w:val="none" w:sz="0" w:space="0" w:color="auto"/>
                                                                                    <w:right w:val="none" w:sz="0" w:space="0" w:color="auto"/>
                                                                                  </w:divBdr>
                                                                                </w:div>
                                                                              </w:divsChild>
                                                                            </w:div>
                                                                            <w:div w:id="1962344818">
                                                                              <w:marLeft w:val="0"/>
                                                                              <w:marRight w:val="0"/>
                                                                              <w:marTop w:val="0"/>
                                                                              <w:marBottom w:val="0"/>
                                                                              <w:divBdr>
                                                                                <w:top w:val="none" w:sz="0" w:space="0" w:color="auto"/>
                                                                                <w:left w:val="none" w:sz="0" w:space="0" w:color="auto"/>
                                                                                <w:bottom w:val="none" w:sz="0" w:space="0" w:color="auto"/>
                                                                                <w:right w:val="none" w:sz="0" w:space="0" w:color="auto"/>
                                                                              </w:divBdr>
                                                                              <w:divsChild>
                                                                                <w:div w:id="38641386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602348">
                                                              <w:marLeft w:val="0"/>
                                                              <w:marRight w:val="0"/>
                                                              <w:marTop w:val="0"/>
                                                              <w:marBottom w:val="0"/>
                                                              <w:divBdr>
                                                                <w:top w:val="none" w:sz="0" w:space="0" w:color="auto"/>
                                                                <w:left w:val="none" w:sz="0" w:space="0" w:color="auto"/>
                                                                <w:bottom w:val="none" w:sz="0" w:space="0" w:color="auto"/>
                                                                <w:right w:val="none" w:sz="0" w:space="0" w:color="auto"/>
                                                              </w:divBdr>
                                                              <w:divsChild>
                                                                <w:div w:id="2143421079">
                                                                  <w:marLeft w:val="0"/>
                                                                  <w:marRight w:val="0"/>
                                                                  <w:marTop w:val="83"/>
                                                                  <w:marBottom w:val="0"/>
                                                                  <w:divBdr>
                                                                    <w:top w:val="none" w:sz="0" w:space="0" w:color="auto"/>
                                                                    <w:left w:val="none" w:sz="0" w:space="0" w:color="auto"/>
                                                                    <w:bottom w:val="none" w:sz="0" w:space="0" w:color="auto"/>
                                                                    <w:right w:val="none" w:sz="0" w:space="0" w:color="auto"/>
                                                                  </w:divBdr>
                                                                </w:div>
                                                              </w:divsChild>
                                                            </w:div>
                                                            <w:div w:id="1733776437">
                                                              <w:marLeft w:val="0"/>
                                                              <w:marRight w:val="0"/>
                                                              <w:marTop w:val="0"/>
                                                              <w:marBottom w:val="0"/>
                                                              <w:divBdr>
                                                                <w:top w:val="none" w:sz="0" w:space="0" w:color="auto"/>
                                                                <w:left w:val="none" w:sz="0" w:space="0" w:color="auto"/>
                                                                <w:bottom w:val="none" w:sz="0" w:space="0" w:color="auto"/>
                                                                <w:right w:val="none" w:sz="0" w:space="0" w:color="auto"/>
                                                              </w:divBdr>
                                                              <w:divsChild>
                                                                <w:div w:id="51060619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4624795">
      <w:bodyDiv w:val="1"/>
      <w:marLeft w:val="0"/>
      <w:marRight w:val="0"/>
      <w:marTop w:val="0"/>
      <w:marBottom w:val="0"/>
      <w:divBdr>
        <w:top w:val="none" w:sz="0" w:space="0" w:color="auto"/>
        <w:left w:val="none" w:sz="0" w:space="0" w:color="auto"/>
        <w:bottom w:val="none" w:sz="0" w:space="0" w:color="auto"/>
        <w:right w:val="none" w:sz="0" w:space="0" w:color="auto"/>
      </w:divBdr>
    </w:div>
    <w:div w:id="730736853">
      <w:bodyDiv w:val="1"/>
      <w:marLeft w:val="0"/>
      <w:marRight w:val="0"/>
      <w:marTop w:val="0"/>
      <w:marBottom w:val="0"/>
      <w:divBdr>
        <w:top w:val="none" w:sz="0" w:space="0" w:color="auto"/>
        <w:left w:val="none" w:sz="0" w:space="0" w:color="auto"/>
        <w:bottom w:val="none" w:sz="0" w:space="0" w:color="auto"/>
        <w:right w:val="none" w:sz="0" w:space="0" w:color="auto"/>
      </w:divBdr>
    </w:div>
    <w:div w:id="842205170">
      <w:bodyDiv w:val="1"/>
      <w:marLeft w:val="0"/>
      <w:marRight w:val="0"/>
      <w:marTop w:val="0"/>
      <w:marBottom w:val="0"/>
      <w:divBdr>
        <w:top w:val="none" w:sz="0" w:space="0" w:color="auto"/>
        <w:left w:val="none" w:sz="0" w:space="0" w:color="auto"/>
        <w:bottom w:val="none" w:sz="0" w:space="0" w:color="auto"/>
        <w:right w:val="none" w:sz="0" w:space="0" w:color="auto"/>
      </w:divBdr>
    </w:div>
    <w:div w:id="842353915">
      <w:bodyDiv w:val="1"/>
      <w:marLeft w:val="0"/>
      <w:marRight w:val="0"/>
      <w:marTop w:val="0"/>
      <w:marBottom w:val="0"/>
      <w:divBdr>
        <w:top w:val="none" w:sz="0" w:space="0" w:color="auto"/>
        <w:left w:val="none" w:sz="0" w:space="0" w:color="auto"/>
        <w:bottom w:val="none" w:sz="0" w:space="0" w:color="auto"/>
        <w:right w:val="none" w:sz="0" w:space="0" w:color="auto"/>
      </w:divBdr>
    </w:div>
    <w:div w:id="877011056">
      <w:bodyDiv w:val="1"/>
      <w:marLeft w:val="0"/>
      <w:marRight w:val="0"/>
      <w:marTop w:val="0"/>
      <w:marBottom w:val="0"/>
      <w:divBdr>
        <w:top w:val="none" w:sz="0" w:space="0" w:color="auto"/>
        <w:left w:val="none" w:sz="0" w:space="0" w:color="auto"/>
        <w:bottom w:val="none" w:sz="0" w:space="0" w:color="auto"/>
        <w:right w:val="none" w:sz="0" w:space="0" w:color="auto"/>
      </w:divBdr>
    </w:div>
    <w:div w:id="939069635">
      <w:bodyDiv w:val="1"/>
      <w:marLeft w:val="0"/>
      <w:marRight w:val="0"/>
      <w:marTop w:val="0"/>
      <w:marBottom w:val="0"/>
      <w:divBdr>
        <w:top w:val="none" w:sz="0" w:space="0" w:color="auto"/>
        <w:left w:val="none" w:sz="0" w:space="0" w:color="auto"/>
        <w:bottom w:val="none" w:sz="0" w:space="0" w:color="auto"/>
        <w:right w:val="none" w:sz="0" w:space="0" w:color="auto"/>
      </w:divBdr>
    </w:div>
    <w:div w:id="1135026478">
      <w:bodyDiv w:val="1"/>
      <w:marLeft w:val="0"/>
      <w:marRight w:val="0"/>
      <w:marTop w:val="0"/>
      <w:marBottom w:val="0"/>
      <w:divBdr>
        <w:top w:val="none" w:sz="0" w:space="0" w:color="auto"/>
        <w:left w:val="none" w:sz="0" w:space="0" w:color="auto"/>
        <w:bottom w:val="none" w:sz="0" w:space="0" w:color="auto"/>
        <w:right w:val="none" w:sz="0" w:space="0" w:color="auto"/>
      </w:divBdr>
      <w:divsChild>
        <w:div w:id="1349209355">
          <w:marLeft w:val="0"/>
          <w:marRight w:val="0"/>
          <w:marTop w:val="0"/>
          <w:marBottom w:val="0"/>
          <w:divBdr>
            <w:top w:val="none" w:sz="0" w:space="0" w:color="auto"/>
            <w:left w:val="none" w:sz="0" w:space="0" w:color="auto"/>
            <w:bottom w:val="none" w:sz="0" w:space="0" w:color="auto"/>
            <w:right w:val="none" w:sz="0" w:space="0" w:color="auto"/>
          </w:divBdr>
          <w:divsChild>
            <w:div w:id="341903683">
              <w:marLeft w:val="0"/>
              <w:marRight w:val="0"/>
              <w:marTop w:val="0"/>
              <w:marBottom w:val="0"/>
              <w:divBdr>
                <w:top w:val="none" w:sz="0" w:space="0" w:color="auto"/>
                <w:left w:val="none" w:sz="0" w:space="0" w:color="auto"/>
                <w:bottom w:val="none" w:sz="0" w:space="0" w:color="auto"/>
                <w:right w:val="none" w:sz="0" w:space="0" w:color="auto"/>
              </w:divBdr>
              <w:divsChild>
                <w:div w:id="509175582">
                  <w:marLeft w:val="0"/>
                  <w:marRight w:val="0"/>
                  <w:marTop w:val="0"/>
                  <w:marBottom w:val="0"/>
                  <w:divBdr>
                    <w:top w:val="none" w:sz="0" w:space="0" w:color="auto"/>
                    <w:left w:val="none" w:sz="0" w:space="0" w:color="auto"/>
                    <w:bottom w:val="none" w:sz="0" w:space="0" w:color="auto"/>
                    <w:right w:val="none" w:sz="0" w:space="0" w:color="auto"/>
                  </w:divBdr>
                  <w:divsChild>
                    <w:div w:id="768164986">
                      <w:marLeft w:val="150"/>
                      <w:marRight w:val="150"/>
                      <w:marTop w:val="0"/>
                      <w:marBottom w:val="0"/>
                      <w:divBdr>
                        <w:top w:val="none" w:sz="0" w:space="0" w:color="auto"/>
                        <w:left w:val="none" w:sz="0" w:space="0" w:color="auto"/>
                        <w:bottom w:val="none" w:sz="0" w:space="0" w:color="auto"/>
                        <w:right w:val="none" w:sz="0" w:space="0" w:color="auto"/>
                      </w:divBdr>
                      <w:divsChild>
                        <w:div w:id="1657801440">
                          <w:marLeft w:val="0"/>
                          <w:marRight w:val="0"/>
                          <w:marTop w:val="0"/>
                          <w:marBottom w:val="0"/>
                          <w:divBdr>
                            <w:top w:val="none" w:sz="0" w:space="0" w:color="auto"/>
                            <w:left w:val="none" w:sz="0" w:space="0" w:color="auto"/>
                            <w:bottom w:val="none" w:sz="0" w:space="0" w:color="auto"/>
                            <w:right w:val="none" w:sz="0" w:space="0" w:color="auto"/>
                          </w:divBdr>
                          <w:divsChild>
                            <w:div w:id="466046427">
                              <w:marLeft w:val="0"/>
                              <w:marRight w:val="0"/>
                              <w:marTop w:val="0"/>
                              <w:marBottom w:val="0"/>
                              <w:divBdr>
                                <w:top w:val="none" w:sz="0" w:space="0" w:color="auto"/>
                                <w:left w:val="none" w:sz="0" w:space="0" w:color="auto"/>
                                <w:bottom w:val="none" w:sz="0" w:space="0" w:color="auto"/>
                                <w:right w:val="none" w:sz="0" w:space="0" w:color="auto"/>
                              </w:divBdr>
                              <w:divsChild>
                                <w:div w:id="167526225">
                                  <w:marLeft w:val="0"/>
                                  <w:marRight w:val="0"/>
                                  <w:marTop w:val="0"/>
                                  <w:marBottom w:val="0"/>
                                  <w:divBdr>
                                    <w:top w:val="none" w:sz="0" w:space="0" w:color="auto"/>
                                    <w:left w:val="none" w:sz="0" w:space="0" w:color="auto"/>
                                    <w:bottom w:val="none" w:sz="0" w:space="0" w:color="auto"/>
                                    <w:right w:val="none" w:sz="0" w:space="0" w:color="auto"/>
                                  </w:divBdr>
                                  <w:divsChild>
                                    <w:div w:id="473789642">
                                      <w:marLeft w:val="0"/>
                                      <w:marRight w:val="0"/>
                                      <w:marTop w:val="0"/>
                                      <w:marBottom w:val="0"/>
                                      <w:divBdr>
                                        <w:top w:val="none" w:sz="0" w:space="0" w:color="auto"/>
                                        <w:left w:val="none" w:sz="0" w:space="0" w:color="auto"/>
                                        <w:bottom w:val="none" w:sz="0" w:space="0" w:color="auto"/>
                                        <w:right w:val="none" w:sz="0" w:space="0" w:color="auto"/>
                                      </w:divBdr>
                                      <w:divsChild>
                                        <w:div w:id="1786390194">
                                          <w:marLeft w:val="0"/>
                                          <w:marRight w:val="0"/>
                                          <w:marTop w:val="0"/>
                                          <w:marBottom w:val="0"/>
                                          <w:divBdr>
                                            <w:top w:val="none" w:sz="0" w:space="0" w:color="auto"/>
                                            <w:left w:val="none" w:sz="0" w:space="0" w:color="auto"/>
                                            <w:bottom w:val="none" w:sz="0" w:space="0" w:color="auto"/>
                                            <w:right w:val="none" w:sz="0" w:space="0" w:color="auto"/>
                                          </w:divBdr>
                                          <w:divsChild>
                                            <w:div w:id="934823950">
                                              <w:marLeft w:val="0"/>
                                              <w:marRight w:val="0"/>
                                              <w:marTop w:val="0"/>
                                              <w:marBottom w:val="0"/>
                                              <w:divBdr>
                                                <w:top w:val="none" w:sz="0" w:space="0" w:color="auto"/>
                                                <w:left w:val="none" w:sz="0" w:space="0" w:color="auto"/>
                                                <w:bottom w:val="none" w:sz="0" w:space="0" w:color="auto"/>
                                                <w:right w:val="none" w:sz="0" w:space="0" w:color="auto"/>
                                              </w:divBdr>
                                              <w:divsChild>
                                                <w:div w:id="1385718882">
                                                  <w:marLeft w:val="0"/>
                                                  <w:marRight w:val="0"/>
                                                  <w:marTop w:val="0"/>
                                                  <w:marBottom w:val="0"/>
                                                  <w:divBdr>
                                                    <w:top w:val="none" w:sz="0" w:space="0" w:color="auto"/>
                                                    <w:left w:val="none" w:sz="0" w:space="0" w:color="auto"/>
                                                    <w:bottom w:val="none" w:sz="0" w:space="0" w:color="auto"/>
                                                    <w:right w:val="none" w:sz="0" w:space="0" w:color="auto"/>
                                                  </w:divBdr>
                                                  <w:divsChild>
                                                    <w:div w:id="207326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9466774">
      <w:bodyDiv w:val="1"/>
      <w:marLeft w:val="0"/>
      <w:marRight w:val="0"/>
      <w:marTop w:val="0"/>
      <w:marBottom w:val="0"/>
      <w:divBdr>
        <w:top w:val="none" w:sz="0" w:space="0" w:color="auto"/>
        <w:left w:val="none" w:sz="0" w:space="0" w:color="auto"/>
        <w:bottom w:val="none" w:sz="0" w:space="0" w:color="auto"/>
        <w:right w:val="none" w:sz="0" w:space="0" w:color="auto"/>
      </w:divBdr>
    </w:div>
    <w:div w:id="1284076157">
      <w:bodyDiv w:val="1"/>
      <w:marLeft w:val="0"/>
      <w:marRight w:val="0"/>
      <w:marTop w:val="0"/>
      <w:marBottom w:val="0"/>
      <w:divBdr>
        <w:top w:val="none" w:sz="0" w:space="0" w:color="auto"/>
        <w:left w:val="none" w:sz="0" w:space="0" w:color="auto"/>
        <w:bottom w:val="none" w:sz="0" w:space="0" w:color="auto"/>
        <w:right w:val="none" w:sz="0" w:space="0" w:color="auto"/>
      </w:divBdr>
    </w:div>
    <w:div w:id="1377242211">
      <w:bodyDiv w:val="1"/>
      <w:marLeft w:val="0"/>
      <w:marRight w:val="0"/>
      <w:marTop w:val="0"/>
      <w:marBottom w:val="0"/>
      <w:divBdr>
        <w:top w:val="none" w:sz="0" w:space="0" w:color="auto"/>
        <w:left w:val="none" w:sz="0" w:space="0" w:color="auto"/>
        <w:bottom w:val="none" w:sz="0" w:space="0" w:color="auto"/>
        <w:right w:val="none" w:sz="0" w:space="0" w:color="auto"/>
      </w:divBdr>
    </w:div>
    <w:div w:id="1446970550">
      <w:bodyDiv w:val="1"/>
      <w:marLeft w:val="0"/>
      <w:marRight w:val="0"/>
      <w:marTop w:val="0"/>
      <w:marBottom w:val="0"/>
      <w:divBdr>
        <w:top w:val="none" w:sz="0" w:space="0" w:color="auto"/>
        <w:left w:val="none" w:sz="0" w:space="0" w:color="auto"/>
        <w:bottom w:val="none" w:sz="0" w:space="0" w:color="auto"/>
        <w:right w:val="none" w:sz="0" w:space="0" w:color="auto"/>
      </w:divBdr>
    </w:div>
    <w:div w:id="1449662180">
      <w:bodyDiv w:val="1"/>
      <w:marLeft w:val="0"/>
      <w:marRight w:val="0"/>
      <w:marTop w:val="0"/>
      <w:marBottom w:val="0"/>
      <w:divBdr>
        <w:top w:val="none" w:sz="0" w:space="0" w:color="auto"/>
        <w:left w:val="none" w:sz="0" w:space="0" w:color="auto"/>
        <w:bottom w:val="none" w:sz="0" w:space="0" w:color="auto"/>
        <w:right w:val="none" w:sz="0" w:space="0" w:color="auto"/>
      </w:divBdr>
    </w:div>
    <w:div w:id="1461000457">
      <w:bodyDiv w:val="1"/>
      <w:marLeft w:val="0"/>
      <w:marRight w:val="0"/>
      <w:marTop w:val="0"/>
      <w:marBottom w:val="0"/>
      <w:divBdr>
        <w:top w:val="none" w:sz="0" w:space="0" w:color="auto"/>
        <w:left w:val="none" w:sz="0" w:space="0" w:color="auto"/>
        <w:bottom w:val="none" w:sz="0" w:space="0" w:color="auto"/>
        <w:right w:val="none" w:sz="0" w:space="0" w:color="auto"/>
      </w:divBdr>
    </w:div>
    <w:div w:id="1603799269">
      <w:bodyDiv w:val="1"/>
      <w:marLeft w:val="0"/>
      <w:marRight w:val="0"/>
      <w:marTop w:val="0"/>
      <w:marBottom w:val="0"/>
      <w:divBdr>
        <w:top w:val="none" w:sz="0" w:space="0" w:color="auto"/>
        <w:left w:val="none" w:sz="0" w:space="0" w:color="auto"/>
        <w:bottom w:val="none" w:sz="0" w:space="0" w:color="auto"/>
        <w:right w:val="none" w:sz="0" w:space="0" w:color="auto"/>
      </w:divBdr>
    </w:div>
    <w:div w:id="1674915183">
      <w:bodyDiv w:val="1"/>
      <w:marLeft w:val="0"/>
      <w:marRight w:val="0"/>
      <w:marTop w:val="0"/>
      <w:marBottom w:val="0"/>
      <w:divBdr>
        <w:top w:val="none" w:sz="0" w:space="0" w:color="auto"/>
        <w:left w:val="none" w:sz="0" w:space="0" w:color="auto"/>
        <w:bottom w:val="none" w:sz="0" w:space="0" w:color="auto"/>
        <w:right w:val="none" w:sz="0" w:space="0" w:color="auto"/>
      </w:divBdr>
    </w:div>
    <w:div w:id="1910768419">
      <w:bodyDiv w:val="1"/>
      <w:marLeft w:val="0"/>
      <w:marRight w:val="0"/>
      <w:marTop w:val="0"/>
      <w:marBottom w:val="0"/>
      <w:divBdr>
        <w:top w:val="none" w:sz="0" w:space="0" w:color="auto"/>
        <w:left w:val="none" w:sz="0" w:space="0" w:color="auto"/>
        <w:bottom w:val="none" w:sz="0" w:space="0" w:color="auto"/>
        <w:right w:val="none" w:sz="0" w:space="0" w:color="auto"/>
      </w:divBdr>
    </w:div>
    <w:div w:id="1936547890">
      <w:bodyDiv w:val="1"/>
      <w:marLeft w:val="0"/>
      <w:marRight w:val="0"/>
      <w:marTop w:val="0"/>
      <w:marBottom w:val="0"/>
      <w:divBdr>
        <w:top w:val="none" w:sz="0" w:space="0" w:color="auto"/>
        <w:left w:val="none" w:sz="0" w:space="0" w:color="auto"/>
        <w:bottom w:val="none" w:sz="0" w:space="0" w:color="auto"/>
        <w:right w:val="none" w:sz="0" w:space="0" w:color="auto"/>
      </w:divBdr>
    </w:div>
    <w:div w:id="1958222010">
      <w:bodyDiv w:val="1"/>
      <w:marLeft w:val="0"/>
      <w:marRight w:val="0"/>
      <w:marTop w:val="0"/>
      <w:marBottom w:val="0"/>
      <w:divBdr>
        <w:top w:val="none" w:sz="0" w:space="0" w:color="auto"/>
        <w:left w:val="none" w:sz="0" w:space="0" w:color="auto"/>
        <w:bottom w:val="none" w:sz="0" w:space="0" w:color="auto"/>
        <w:right w:val="none" w:sz="0" w:space="0" w:color="auto"/>
      </w:divBdr>
    </w:div>
    <w:div w:id="1961690563">
      <w:bodyDiv w:val="1"/>
      <w:marLeft w:val="0"/>
      <w:marRight w:val="0"/>
      <w:marTop w:val="0"/>
      <w:marBottom w:val="0"/>
      <w:divBdr>
        <w:top w:val="none" w:sz="0" w:space="0" w:color="auto"/>
        <w:left w:val="none" w:sz="0" w:space="0" w:color="auto"/>
        <w:bottom w:val="none" w:sz="0" w:space="0" w:color="auto"/>
        <w:right w:val="none" w:sz="0" w:space="0" w:color="auto"/>
      </w:divBdr>
    </w:div>
    <w:div w:id="200488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28B69-8A06-459D-B96C-3AB80E3F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6702</Words>
  <Characters>38208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Bell Gully</Company>
  <LinksUpToDate>false</LinksUpToDate>
  <CharactersWithSpaces>44821</CharactersWithSpaces>
  <SharedDoc>false</SharedDoc>
  <HLinks>
    <vt:vector size="24" baseType="variant">
      <vt:variant>
        <vt:i4>6225990</vt:i4>
      </vt:variant>
      <vt:variant>
        <vt:i4>9</vt:i4>
      </vt:variant>
      <vt:variant>
        <vt:i4>0</vt:i4>
      </vt:variant>
      <vt:variant>
        <vt:i4>5</vt:i4>
      </vt:variant>
      <vt:variant>
        <vt:lpwstr>http://www.chchihp.govt.nz/hearings/</vt:lpwstr>
      </vt:variant>
      <vt:variant>
        <vt:lpwstr/>
      </vt:variant>
      <vt:variant>
        <vt:i4>3473450</vt:i4>
      </vt:variant>
      <vt:variant>
        <vt:i4>6</vt:i4>
      </vt:variant>
      <vt:variant>
        <vt:i4>0</vt:i4>
      </vt:variant>
      <vt:variant>
        <vt:i4>5</vt:i4>
      </vt:variant>
      <vt:variant>
        <vt:lpwstr>http://www.chchplan.ihp.govt.nz/past-hearings/</vt:lpwstr>
      </vt:variant>
      <vt:variant>
        <vt:lpwstr/>
      </vt:variant>
      <vt:variant>
        <vt:i4>131152</vt:i4>
      </vt:variant>
      <vt:variant>
        <vt:i4>3</vt:i4>
      </vt:variant>
      <vt:variant>
        <vt:i4>0</vt:i4>
      </vt:variant>
      <vt:variant>
        <vt:i4>5</vt:i4>
      </vt:variant>
      <vt:variant>
        <vt:lpwstr>http://chchplan.ihp.govt.nz/hearings/</vt:lpwstr>
      </vt:variant>
      <vt:variant>
        <vt:lpwstr/>
      </vt:variant>
      <vt:variant>
        <vt:i4>3473450</vt:i4>
      </vt:variant>
      <vt:variant>
        <vt:i4>0</vt:i4>
      </vt:variant>
      <vt:variant>
        <vt:i4>0</vt:i4>
      </vt:variant>
      <vt:variant>
        <vt:i4>5</vt:i4>
      </vt:variant>
      <vt:variant>
        <vt:lpwstr>http://www.chchplan.ihp.govt.nz/past-hearings/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Ainsley McLeod</dc:creator>
  <cp:keywords/>
  <dc:description/>
  <cp:lastModifiedBy>Ainsley McLeod</cp:lastModifiedBy>
  <cp:revision>2</cp:revision>
  <cp:lastPrinted>2020-06-17T19:18:00Z</cp:lastPrinted>
  <dcterms:created xsi:type="dcterms:W3CDTF">2021-02-14T21:06:00Z</dcterms:created>
  <dcterms:modified xsi:type="dcterms:W3CDTF">2021-02-14T21:06:00Z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heDate">
    <vt:lpwstr>13/Jun/02 09:01</vt:lpwstr>
  </property>
  <property fmtid="{D5CDD505-2E9C-101B-9397-08002B2CF9AE}" pid="3" name="FirstPageDate">
    <vt:lpwstr>13 June 2002</vt:lpwstr>
  </property>
  <property fmtid="{D5CDD505-2E9C-101B-9397-08002B2CF9AE}" pid="4" name="OtherPagesFooterDate">
    <vt:lpwstr>130602 0901</vt:lpwstr>
  </property>
  <property fmtid="{D5CDD505-2E9C-101B-9397-08002B2CF9AE}" pid="5" name="FirstPageFooterDate">
    <vt:lpwstr>130602 0901</vt:lpwstr>
  </property>
  <property fmtid="{D5CDD505-2E9C-101B-9397-08002B2CF9AE}" pid="6" name="Version">
    <vt:r8>1</vt:r8>
  </property>
  <property fmtid="{D5CDD505-2E9C-101B-9397-08002B2CF9AE}" pid="7" name="AgentCheckbox">
    <vt:bool>false</vt:bool>
  </property>
  <property fmtid="{D5CDD505-2E9C-101B-9397-08002B2CF9AE}" pid="8" name="bgDocumentName">
    <vt:lpwstr>18910691_1</vt:lpwstr>
  </property>
  <property fmtid="{D5CDD505-2E9C-101B-9397-08002B2CF9AE}" pid="9" name="bgEditDateTime">
    <vt:lpwstr/>
  </property>
  <property fmtid="{D5CDD505-2E9C-101B-9397-08002B2CF9AE}" pid="10" name="FirstParty0">
    <vt:lpwstr>;;</vt:lpwstr>
  </property>
  <property fmtid="{D5CDD505-2E9C-101B-9397-08002B2CF9AE}" pid="11" name="OpposingParty0">
    <vt:lpwstr>;;</vt:lpwstr>
  </property>
  <property fmtid="{D5CDD505-2E9C-101B-9397-08002B2CF9AE}" pid="12" name="EditProfileIsRunning">
    <vt:bool>false</vt:bool>
  </property>
  <property fmtid="{D5CDD505-2E9C-101B-9397-08002B2CF9AE}" pid="13" name="bgVersionNumber">
    <vt:bool>true</vt:bool>
  </property>
  <property fmtid="{D5CDD505-2E9C-101B-9397-08002B2CF9AE}" pid="14" name="bgMajorVersion">
    <vt:i4>2</vt:i4>
  </property>
  <property fmtid="{D5CDD505-2E9C-101B-9397-08002B2CF9AE}" pid="15" name="bgIssueDate">
    <vt:lpwstr>18 November 2014</vt:lpwstr>
  </property>
  <property fmtid="{D5CDD505-2E9C-101B-9397-08002B2CF9AE}" pid="16" name="FirstParties">
    <vt:lpwstr>2</vt:lpwstr>
  </property>
  <property fmtid="{D5CDD505-2E9C-101B-9397-08002B2CF9AE}" pid="17" name="OpposingParties">
    <vt:lpwstr>2</vt:lpwstr>
  </property>
  <property fmtid="{D5CDD505-2E9C-101B-9397-08002B2CF9AE}" pid="18" name="FirstParty1">
    <vt:lpwstr>Watson;;Appellant</vt:lpwstr>
  </property>
  <property fmtid="{D5CDD505-2E9C-101B-9397-08002B2CF9AE}" pid="19" name="OpposingParty1">
    <vt:lpwstr>Stratford District Council;;Respondent</vt:lpwstr>
  </property>
  <property fmtid="{D5CDD505-2E9C-101B-9397-08002B2CF9AE}" pid="20" name="FirstParty2">
    <vt:lpwstr>McCullough;;Appellant</vt:lpwstr>
  </property>
  <property fmtid="{D5CDD505-2E9C-101B-9397-08002B2CF9AE}" pid="21" name="OpposingParty2">
    <vt:lpwstr>Progressive Enterprises Limited;;Applicant</vt:lpwstr>
  </property>
  <property fmtid="{D5CDD505-2E9C-101B-9397-08002B2CF9AE}" pid="22" name="Court">
    <vt:lpwstr>In the Environment Court</vt:lpwstr>
  </property>
  <property fmtid="{D5CDD505-2E9C-101B-9397-08002B2CF9AE}" pid="23" name="Registry">
    <vt:lpwstr>Wellington</vt:lpwstr>
  </property>
  <property fmtid="{D5CDD505-2E9C-101B-9397-08002B2CF9AE}" pid="24" name="Procedure">
    <vt:lpwstr/>
  </property>
  <property fmtid="{D5CDD505-2E9C-101B-9397-08002B2CF9AE}" pid="25" name="ProcedureCheckbox">
    <vt:bool>false</vt:bool>
  </property>
  <property fmtid="{D5CDD505-2E9C-101B-9397-08002B2CF9AE}" pid="26" name="Introduction">
    <vt:lpwstr>Under the Resource Management Act 1991_x000b_In the matter of two appeals pursuant to section 120 of the Act</vt:lpwstr>
  </property>
  <property fmtid="{D5CDD505-2E9C-101B-9397-08002B2CF9AE}" pid="27" name="bgNumType">
    <vt:lpwstr>Standard numbering</vt:lpwstr>
  </property>
  <property fmtid="{D5CDD505-2E9C-101B-9397-08002B2CF9AE}" pid="28" name="WaistbandTitle">
    <vt:lpwstr>Statement of Evidence in Chief of [INSERT NAME] on behalf of Progressive Enterprises Limited dated [INSERT DATE]</vt:lpwstr>
  </property>
  <property fmtid="{D5CDD505-2E9C-101B-9397-08002B2CF9AE}" pid="29" name="DatingText">
    <vt:lpwstr/>
  </property>
  <property fmtid="{D5CDD505-2E9C-101B-9397-08002B2CF9AE}" pid="30" name="DateCheckbox">
    <vt:bool>false</vt:bool>
  </property>
  <property fmtid="{D5CDD505-2E9C-101B-9397-08002B2CF9AE}" pid="31" name="All">
    <vt:bool>true</vt:bool>
  </property>
  <property fmtid="{D5CDD505-2E9C-101B-9397-08002B2CF9AE}" pid="32" name="Abbreviated">
    <vt:bool>false</vt:bool>
  </property>
  <property fmtid="{D5CDD505-2E9C-101B-9397-08002B2CF9AE}" pid="33" name="Continued">
    <vt:bool>false</vt:bool>
  </property>
  <property fmtid="{D5CDD505-2E9C-101B-9397-08002B2CF9AE}" pid="34" name="NextEventText">
    <vt:lpwstr/>
  </property>
  <property fmtid="{D5CDD505-2E9C-101B-9397-08002B2CF9AE}" pid="35" name="CourtNumber">
    <vt:lpwstr>ENV-2014-WLG-030,031</vt:lpwstr>
  </property>
  <property fmtid="{D5CDD505-2E9C-101B-9397-08002B2CF9AE}" pid="36" name="HearingDate">
    <vt:lpwstr/>
  </property>
  <property fmtid="{D5CDD505-2E9C-101B-9397-08002B2CF9AE}" pid="37" name="chkHearingDate">
    <vt:bool>false</vt:bool>
  </property>
  <property fmtid="{D5CDD505-2E9C-101B-9397-08002B2CF9AE}" pid="38" name="JudicialOfficerText">
    <vt:lpwstr/>
  </property>
  <property fmtid="{D5CDD505-2E9C-101B-9397-08002B2CF9AE}" pid="39" name="DescriptionCheckbox">
    <vt:bool>false</vt:bool>
  </property>
  <property fmtid="{D5CDD505-2E9C-101B-9397-08002B2CF9AE}" pid="40" name="TOCheckbox">
    <vt:bool>false</vt:bool>
  </property>
  <property fmtid="{D5CDD505-2E9C-101B-9397-08002B2CF9AE}" pid="41" name="Layout">
    <vt:lpwstr>All</vt:lpwstr>
  </property>
  <property fmtid="{D5CDD505-2E9C-101B-9397-08002B2CF9AE}" pid="42" name="ProcedureAbove">
    <vt:lpwstr/>
  </property>
  <property fmtid="{D5CDD505-2E9C-101B-9397-08002B2CF9AE}" pid="43" name="ProcedureBelow">
    <vt:lpwstr/>
  </property>
  <property fmtid="{D5CDD505-2E9C-101B-9397-08002B2CF9AE}" pid="44" name="RegistryPrefix">
    <vt:lpwstr/>
  </property>
  <property fmtid="{D5CDD505-2E9C-101B-9397-08002B2CF9AE}" pid="45" name="RegistrySuffix">
    <vt:lpwstr/>
  </property>
  <property fmtid="{D5CDD505-2E9C-101B-9397-08002B2CF9AE}" pid="46" name="AndExparteText">
    <vt:lpwstr> And </vt:lpwstr>
  </property>
  <property fmtid="{D5CDD505-2E9C-101B-9397-08002B2CF9AE}" pid="47" name="LayoutMiddleText">
    <vt:lpwstr/>
  </property>
  <property fmtid="{D5CDD505-2E9C-101B-9397-08002B2CF9AE}" pid="48" name="Page2Heading">
    <vt:lpwstr/>
  </property>
  <property fmtid="{D5CDD505-2E9C-101B-9397-08002B2CF9AE}" pid="49" name="CourtNumberPrefix">
    <vt:lpwstr/>
  </property>
  <property fmtid="{D5CDD505-2E9C-101B-9397-08002B2CF9AE}" pid="50" name="CourtNumberSuffix">
    <vt:lpwstr>ENV-2014-WLG-030,031</vt:lpwstr>
  </property>
  <property fmtid="{D5CDD505-2E9C-101B-9397-08002B2CF9AE}" pid="51" name="bgOperatorInitials">
    <vt:lpwstr>NJG</vt:lpwstr>
  </property>
  <property fmtid="{D5CDD505-2E9C-101B-9397-08002B2CF9AE}" pid="52" name="imClass">
    <vt:lpwstr>COURT</vt:lpwstr>
  </property>
  <property fmtid="{D5CDD505-2E9C-101B-9397-08002B2CF9AE}" pid="53" name="imType">
    <vt:lpwstr>WORD</vt:lpwstr>
  </property>
  <property fmtid="{D5CDD505-2E9C-101B-9397-08002B2CF9AE}" pid="54" name="imDocumentNumber">
    <vt:i4>18910691</vt:i4>
  </property>
  <property fmtid="{D5CDD505-2E9C-101B-9397-08002B2CF9AE}" pid="55" name="imVersionNumber">
    <vt:i4>1</vt:i4>
  </property>
  <property fmtid="{D5CDD505-2E9C-101B-9397-08002B2CF9AE}" pid="56" name="bgTitle">
    <vt:lpwstr>NZ1-11829748-Proposal 9 (Stage 3) Transpower Rebuttal Evidence AM Draft BG comments</vt:lpwstr>
  </property>
  <property fmtid="{D5CDD505-2E9C-101B-9397-08002B2CF9AE}" pid="57" name="bgClientNumber">
    <vt:lpwstr>101204</vt:lpwstr>
  </property>
  <property fmtid="{D5CDD505-2E9C-101B-9397-08002B2CF9AE}" pid="58" name="bgMatterNumber">
    <vt:lpwstr>400-9245</vt:lpwstr>
  </property>
  <property fmtid="{D5CDD505-2E9C-101B-9397-08002B2CF9AE}" pid="59" name="bgMatterDescription">
    <vt:lpwstr>Proposed Christchurch Replacement District Plan</vt:lpwstr>
  </property>
  <property fmtid="{D5CDD505-2E9C-101B-9397-08002B2CF9AE}" pid="60" name="bgClient">
    <vt:lpwstr>Transpower New Zealand Limited</vt:lpwstr>
  </property>
  <property fmtid="{D5CDD505-2E9C-101B-9397-08002B2CF9AE}" pid="61" name="bgAuthorInitials">
    <vt:lpwstr>NJG</vt:lpwstr>
  </property>
  <property fmtid="{D5CDD505-2E9C-101B-9397-08002B2CF9AE}" pid="62" name="bgAuthorTreatAsPartner">
    <vt:lpwstr>False</vt:lpwstr>
  </property>
  <property fmtid="{D5CDD505-2E9C-101B-9397-08002B2CF9AE}" pid="63" name="bgAuthorPreferredName">
    <vt:lpwstr>Natasha Garvan</vt:lpwstr>
  </property>
  <property fmtid="{D5CDD505-2E9C-101B-9397-08002B2CF9AE}" pid="64" name="bgAuthorOtherName">
    <vt:lpwstr>N Garvan</vt:lpwstr>
  </property>
  <property fmtid="{D5CDD505-2E9C-101B-9397-08002B2CF9AE}" pid="65" name="bgAuthorEmail">
    <vt:lpwstr>natasha.garvan@bellgully.com</vt:lpwstr>
  </property>
  <property fmtid="{D5CDD505-2E9C-101B-9397-08002B2CF9AE}" pid="66" name="bgAuthorMobile">
    <vt:lpwstr/>
  </property>
  <property fmtid="{D5CDD505-2E9C-101B-9397-08002B2CF9AE}" pid="67" name="bgAuthorDDI">
    <vt:lpwstr>+64 9 9168956</vt:lpwstr>
  </property>
  <property fmtid="{D5CDD505-2E9C-101B-9397-08002B2CF9AE}" pid="68" name="bgAuthorJobTitle">
    <vt:lpwstr>Senior Solicitor</vt:lpwstr>
  </property>
  <property fmtid="{D5CDD505-2E9C-101B-9397-08002B2CF9AE}" pid="69" name="bgAuthorOffice">
    <vt:lpwstr>Auckland</vt:lpwstr>
  </property>
  <property fmtid="{D5CDD505-2E9C-101B-9397-08002B2CF9AE}" pid="70" name="bgSecondAuthorInitials">
    <vt:lpwstr/>
  </property>
  <property fmtid="{D5CDD505-2E9C-101B-9397-08002B2CF9AE}" pid="71" name="bgPartnerInitials">
    <vt:lpwstr>AJLB</vt:lpwstr>
  </property>
  <property fmtid="{D5CDD505-2E9C-101B-9397-08002B2CF9AE}" pid="72" name="bgPartnerTreatAsPartner">
    <vt:lpwstr>False</vt:lpwstr>
  </property>
  <property fmtid="{D5CDD505-2E9C-101B-9397-08002B2CF9AE}" pid="73" name="bgPartnerPreferredName">
    <vt:lpwstr>Andrew Beatson</vt:lpwstr>
  </property>
  <property fmtid="{D5CDD505-2E9C-101B-9397-08002B2CF9AE}" pid="74" name="bgPartnerOtherName">
    <vt:lpwstr>A Beatson</vt:lpwstr>
  </property>
  <property fmtid="{D5CDD505-2E9C-101B-9397-08002B2CF9AE}" pid="75" name="bgPartnerEmail">
    <vt:lpwstr>andrew.beatson@bellgully.com</vt:lpwstr>
  </property>
  <property fmtid="{D5CDD505-2E9C-101B-9397-08002B2CF9AE}" pid="76" name="bgPartnerMobile">
    <vt:lpwstr>+64 21 223 9170</vt:lpwstr>
  </property>
  <property fmtid="{D5CDD505-2E9C-101B-9397-08002B2CF9AE}" pid="77" name="bgPartnerDDI">
    <vt:lpwstr>+64 4 915 6770</vt:lpwstr>
  </property>
  <property fmtid="{D5CDD505-2E9C-101B-9397-08002B2CF9AE}" pid="78" name="bgPartnerJobTitle">
    <vt:lpwstr>Partner</vt:lpwstr>
  </property>
  <property fmtid="{D5CDD505-2E9C-101B-9397-08002B2CF9AE}" pid="79" name="bgPartnerOffice">
    <vt:lpwstr>Wellington</vt:lpwstr>
  </property>
  <property fmtid="{D5CDD505-2E9C-101B-9397-08002B2CF9AE}" pid="80" name="LexMachinaIsRunning">
    <vt:bool>false</vt:bool>
  </property>
  <property fmtid="{D5CDD505-2E9C-101B-9397-08002B2CF9AE}" pid="81" name="TopHasAlreadyBeenManuallyChanged">
    <vt:bool>true</vt:bool>
  </property>
  <property fmtid="{D5CDD505-2E9C-101B-9397-08002B2CF9AE}" pid="82" name="D_CUST_Additional Reference Value">
    <vt:lpwstr/>
  </property>
  <property fmtid="{D5CDD505-2E9C-101B-9397-08002B2CF9AE}" pid="83" name="D_CUST_Associated Organisations">
    <vt:lpwstr/>
  </property>
  <property fmtid="{D5CDD505-2E9C-101B-9397-08002B2CF9AE}" pid="84" name="D_CUST_Associated People">
    <vt:lpwstr/>
  </property>
  <property fmtid="{D5CDD505-2E9C-101B-9397-08002B2CF9AE}" pid="85" name="D_STAT_Category Id">
    <vt:i4>0</vt:i4>
  </property>
  <property fmtid="{D5CDD505-2E9C-101B-9397-08002B2CF9AE}" pid="86" name="D_STAT_Category Name">
    <vt:lpwstr/>
  </property>
  <property fmtid="{D5CDD505-2E9C-101B-9397-08002B2CF9AE}" pid="87" name="WS_D_CUST_Organisation.ABNNumber">
    <vt:lpwstr/>
  </property>
  <property fmtid="{D5CDD505-2E9C-101B-9397-08002B2CF9AE}" pid="88" name="WS_D_CUST_Organisation.AddressLine1">
    <vt:lpwstr/>
  </property>
  <property fmtid="{D5CDD505-2E9C-101B-9397-08002B2CF9AE}" pid="89" name="WS_D_CUST_Organisation.AddressLine2">
    <vt:lpwstr/>
  </property>
  <property fmtid="{D5CDD505-2E9C-101B-9397-08002B2CF9AE}" pid="90" name="WS_D_CUST_Organisation.AddressLine3">
    <vt:lpwstr/>
  </property>
  <property fmtid="{D5CDD505-2E9C-101B-9397-08002B2CF9AE}" pid="91" name="WS_D_CUST_Organisation.AddressPostcode">
    <vt:lpwstr/>
  </property>
  <property fmtid="{D5CDD505-2E9C-101B-9397-08002B2CF9AE}" pid="92" name="WS_D_CUST_Organisation.AddressRegion">
    <vt:lpwstr/>
  </property>
  <property fmtid="{D5CDD505-2E9C-101B-9397-08002B2CF9AE}" pid="93" name="WS_D_CUST_Organisation.AddressTownCity">
    <vt:lpwstr/>
  </property>
  <property fmtid="{D5CDD505-2E9C-101B-9397-08002B2CF9AE}" pid="94" name="WS_D_CUST_Organisation.BankAcNumber">
    <vt:lpwstr/>
  </property>
  <property fmtid="{D5CDD505-2E9C-101B-9397-08002B2CF9AE}" pid="95" name="WS_D_CUST_Organisation.BecaManagerName">
    <vt:lpwstr/>
  </property>
  <property fmtid="{D5CDD505-2E9C-101B-9397-08002B2CF9AE}" pid="96" name="WS_D_CUST_Organisation.CompanyID">
    <vt:lpwstr/>
  </property>
  <property fmtid="{D5CDD505-2E9C-101B-9397-08002B2CF9AE}" pid="97" name="WS_D_CUST_Organisation.Country">
    <vt:lpwstr/>
  </property>
  <property fmtid="{D5CDD505-2E9C-101B-9397-08002B2CF9AE}" pid="98" name="WS_D_CUST_Organisation.DisplayName">
    <vt:lpwstr/>
  </property>
  <property fmtid="{D5CDD505-2E9C-101B-9397-08002B2CF9AE}" pid="99" name="WS_D_CUST_Organisation.EmailAddress">
    <vt:lpwstr/>
  </property>
  <property fmtid="{D5CDD505-2E9C-101B-9397-08002B2CF9AE}" pid="100" name="WS_D_CUST_Organisation.FaxNumber">
    <vt:lpwstr/>
  </property>
  <property fmtid="{D5CDD505-2E9C-101B-9397-08002B2CF9AE}" pid="101" name="WS_D_CUST_Organisation.GSTNumber">
    <vt:lpwstr/>
  </property>
  <property fmtid="{D5CDD505-2E9C-101B-9397-08002B2CF9AE}" pid="102" name="WS_D_CUST_Organisation.Hub">
    <vt:lpwstr/>
  </property>
  <property fmtid="{D5CDD505-2E9C-101B-9397-08002B2CF9AE}" pid="103" name="WS_D_CUST_Organisation.MarketSegment">
    <vt:lpwstr/>
  </property>
  <property fmtid="{D5CDD505-2E9C-101B-9397-08002B2CF9AE}" pid="104" name="WS_D_CUST_Organisation.OrganisationID">
    <vt:lpwstr/>
  </property>
  <property fmtid="{D5CDD505-2E9C-101B-9397-08002B2CF9AE}" pid="105" name="WS_D_CUST_Organisation.OrganisationType">
    <vt:lpwstr/>
  </property>
  <property fmtid="{D5CDD505-2E9C-101B-9397-08002B2CF9AE}" pid="106" name="WS_D_CUST_Organisation.ParentOrganisationName">
    <vt:lpwstr/>
  </property>
  <property fmtid="{D5CDD505-2E9C-101B-9397-08002B2CF9AE}" pid="107" name="WS_D_CUST_Organisation.PhoneNumber">
    <vt:lpwstr/>
  </property>
  <property fmtid="{D5CDD505-2E9C-101B-9397-08002B2CF9AE}" pid="108" name="WS_D_CUST_Organisation.PhysicalAddress">
    <vt:lpwstr/>
  </property>
  <property fmtid="{D5CDD505-2E9C-101B-9397-08002B2CF9AE}" pid="109" name="WS_D_CUST_Organisation.PostalAddress">
    <vt:lpwstr/>
  </property>
  <property fmtid="{D5CDD505-2E9C-101B-9397-08002B2CF9AE}" pid="110" name="WS_D_CUST_Organisation.ShortName">
    <vt:lpwstr/>
  </property>
  <property fmtid="{D5CDD505-2E9C-101B-9397-08002B2CF9AE}" pid="111" name="WS_D_CUST_Organisation.Website">
    <vt:lpwstr/>
  </property>
  <property fmtid="{D5CDD505-2E9C-101B-9397-08002B2CF9AE}" pid="112" name="WS_D_CUST_Originator.AddressLine1">
    <vt:lpwstr>410 Colombo Street</vt:lpwstr>
  </property>
  <property fmtid="{D5CDD505-2E9C-101B-9397-08002B2CF9AE}" pid="113" name="WS_D_CUST_Originator.AddressLine2">
    <vt:lpwstr>Sydenham</vt:lpwstr>
  </property>
  <property fmtid="{D5CDD505-2E9C-101B-9397-08002B2CF9AE}" pid="114" name="WS_D_CUST_Originator.AddressLine3">
    <vt:lpwstr>PO Box 13960</vt:lpwstr>
  </property>
  <property fmtid="{D5CDD505-2E9C-101B-9397-08002B2CF9AE}" pid="115" name="WS_D_CUST_Originator.AddressPostcode">
    <vt:lpwstr>8141</vt:lpwstr>
  </property>
  <property fmtid="{D5CDD505-2E9C-101B-9397-08002B2CF9AE}" pid="116" name="WS_D_CUST_Originator.AddressRegion">
    <vt:lpwstr>Christchurch</vt:lpwstr>
  </property>
  <property fmtid="{D5CDD505-2E9C-101B-9397-08002B2CF9AE}" pid="117" name="WS_D_CUST_Originator.AddressTownCity">
    <vt:lpwstr>Christchurch</vt:lpwstr>
  </property>
  <property fmtid="{D5CDD505-2E9C-101B-9397-08002B2CF9AE}" pid="118" name="WS_D_CUST_Originator.BecaManagerName">
    <vt:lpwstr>Jeremy Cooke</vt:lpwstr>
  </property>
  <property fmtid="{D5CDD505-2E9C-101B-9397-08002B2CF9AE}" pid="119" name="WS_D_CUST_Originator.Company">
    <vt:lpwstr>Beca Ltd</vt:lpwstr>
  </property>
  <property fmtid="{D5CDD505-2E9C-101B-9397-08002B2CF9AE}" pid="120" name="WS_D_CUST_Originator.CompanyID">
    <vt:lpwstr>14</vt:lpwstr>
  </property>
  <property fmtid="{D5CDD505-2E9C-101B-9397-08002B2CF9AE}" pid="121" name="WS_D_CUST_Originator.CompanyShortName">
    <vt:lpwstr>Beca Ltd</vt:lpwstr>
  </property>
  <property fmtid="{D5CDD505-2E9C-101B-9397-08002B2CF9AE}" pid="122" name="WS_D_CUST_Originator.Country">
    <vt:lpwstr>New Zealand</vt:lpwstr>
  </property>
  <property fmtid="{D5CDD505-2E9C-101B-9397-08002B2CF9AE}" pid="123" name="WS_D_CUST_Originator.DisplayName">
    <vt:lpwstr>Jess Bould</vt:lpwstr>
  </property>
  <property fmtid="{D5CDD505-2E9C-101B-9397-08002B2CF9AE}" pid="124" name="WS_D_CUST_Originator.EmailAddress">
    <vt:lpwstr>jess.bould@beca.com</vt:lpwstr>
  </property>
  <property fmtid="{D5CDD505-2E9C-101B-9397-08002B2CF9AE}" pid="125" name="WS_D_CUST_Originator.EmployeeNumber">
    <vt:lpwstr>21257</vt:lpwstr>
  </property>
  <property fmtid="{D5CDD505-2E9C-101B-9397-08002B2CF9AE}" pid="126" name="WS_D_CUST_Originator.FaxNumber">
    <vt:lpwstr>+64 3 366 3188</vt:lpwstr>
  </property>
  <property fmtid="{D5CDD505-2E9C-101B-9397-08002B2CF9AE}" pid="127" name="WS_D_CUST_Originator.FirstName">
    <vt:lpwstr>Jessica</vt:lpwstr>
  </property>
  <property fmtid="{D5CDD505-2E9C-101B-9397-08002B2CF9AE}" pid="128" name="WS_D_CUST_Originator.Hub">
    <vt:lpwstr/>
  </property>
  <property fmtid="{D5CDD505-2E9C-101B-9397-08002B2CF9AE}" pid="129" name="WS_D_CUST_Originator.Initials">
    <vt:lpwstr>JLB</vt:lpwstr>
  </property>
  <property fmtid="{D5CDD505-2E9C-101B-9397-08002B2CF9AE}" pid="130" name="WS_D_CUST_Originator.JobTitle">
    <vt:lpwstr>Planner</vt:lpwstr>
  </property>
  <property fmtid="{D5CDD505-2E9C-101B-9397-08002B2CF9AE}" pid="131" name="WS_D_CUST_Originator.Login">
    <vt:lpwstr>JLB2</vt:lpwstr>
  </property>
  <property fmtid="{D5CDD505-2E9C-101B-9397-08002B2CF9AE}" pid="132" name="WS_D_CUST_Originator.MobileNumber">
    <vt:lpwstr/>
  </property>
  <property fmtid="{D5CDD505-2E9C-101B-9397-08002B2CF9AE}" pid="133" name="WS_D_CUST_Originator.OfficeLocation">
    <vt:lpwstr>410 Colombo Street</vt:lpwstr>
  </property>
  <property fmtid="{D5CDD505-2E9C-101B-9397-08002B2CF9AE}" pid="134" name="WS_D_CUST_Originator.OfficePhoneNumber">
    <vt:lpwstr>+64 3 366 3521</vt:lpwstr>
  </property>
  <property fmtid="{D5CDD505-2E9C-101B-9397-08002B2CF9AE}" pid="135" name="WS_D_CUST_Originator.Organisation">
    <vt:lpwstr>439</vt:lpwstr>
  </property>
  <property fmtid="{D5CDD505-2E9C-101B-9397-08002B2CF9AE}" pid="136" name="WS_D_CUST_Originator.OrganisationName">
    <vt:lpwstr>South Island Environments - BL</vt:lpwstr>
  </property>
  <property fmtid="{D5CDD505-2E9C-101B-9397-08002B2CF9AE}" pid="137" name="WS_D_CUST_Originator.PhoneExtension">
    <vt:lpwstr/>
  </property>
  <property fmtid="{D5CDD505-2E9C-101B-9397-08002B2CF9AE}" pid="138" name="WS_D_CUST_Originator.PhoneNumber">
    <vt:lpwstr/>
  </property>
  <property fmtid="{D5CDD505-2E9C-101B-9397-08002B2CF9AE}" pid="139" name="WS_D_CUST_Originator.PostalAddress">
    <vt:lpwstr>410 Colombo Street
Sydenham
PO Box 13960
Christchurch
8141
New Zealand</vt:lpwstr>
  </property>
  <property fmtid="{D5CDD505-2E9C-101B-9397-08002B2CF9AE}" pid="140" name="WS_D_CUST_Originator.PrimaryDiscipline">
    <vt:lpwstr/>
  </property>
  <property fmtid="{D5CDD505-2E9C-101B-9397-08002B2CF9AE}" pid="141" name="WS_D_CUST_Originator.Surname">
    <vt:lpwstr>Bould</vt:lpwstr>
  </property>
  <property fmtid="{D5CDD505-2E9C-101B-9397-08002B2CF9AE}" pid="142" name="FullIdPath">
    <vt:lpwstr/>
  </property>
  <property fmtid="{D5CDD505-2E9C-101B-9397-08002B2CF9AE}" pid="143" name="FullPath">
    <vt:lpwstr/>
  </property>
  <property fmtid="{D5CDD505-2E9C-101B-9397-08002B2CF9AE}" pid="144" name="D_CUST_Originator Organisation">
    <vt:lpwstr/>
  </property>
  <property fmtid="{D5CDD505-2E9C-101B-9397-08002B2CF9AE}" pid="145" name="D_STAT_Version Comment">
    <vt:lpwstr/>
  </property>
  <property fmtid="{D5CDD505-2E9C-101B-9397-08002B2CF9AE}" pid="146" name="D_CUST_Workflow History">
    <vt:lpwstr/>
  </property>
  <property fmtid="{D5CDD505-2E9C-101B-9397-08002B2CF9AE}" pid="147" name="V_CUST_Third Party Revision ID">
    <vt:lpwstr/>
  </property>
  <property fmtid="{D5CDD505-2E9C-101B-9397-08002B2CF9AE}" pid="148" name="D_TM_My hashed value">
    <vt:lpwstr/>
  </property>
  <property fmtid="{D5CDD505-2E9C-101B-9397-08002B2CF9AE}" pid="149" name="D_CUST_Approval Status">
    <vt:lpwstr/>
  </property>
  <property fmtid="{D5CDD505-2E9C-101B-9397-08002B2CF9AE}" pid="150" name="D_CUST_Beca Id">
    <vt:lpwstr/>
  </property>
  <property fmtid="{D5CDD505-2E9C-101B-9397-08002B2CF9AE}" pid="151" name="FM_Client Parent">
    <vt:lpwstr/>
  </property>
  <property fmtid="{D5CDD505-2E9C-101B-9397-08002B2CF9AE}" pid="152" name="D_CUST_GL Code">
    <vt:lpwstr/>
  </property>
  <property fmtid="{D5CDD505-2E9C-101B-9397-08002B2CF9AE}" pid="153" name="D_CUST_Jurisdiction">
    <vt:lpwstr/>
  </property>
  <property fmtid="{D5CDD505-2E9C-101B-9397-08002B2CF9AE}" pid="154" name="D_CUST_Project ID">
    <vt:lpwstr/>
  </property>
  <property fmtid="{D5CDD505-2E9C-101B-9397-08002B2CF9AE}" pid="155" name="D_CUST_QMS Code">
    <vt:lpwstr/>
  </property>
  <property fmtid="{D5CDD505-2E9C-101B-9397-08002B2CF9AE}" pid="156" name="FM_Risk Category">
    <vt:lpwstr/>
  </property>
  <property fmtid="{D5CDD505-2E9C-101B-9397-08002B2CF9AE}" pid="157" name="D_CUST_Third party Ref">
    <vt:lpwstr/>
  </property>
  <property fmtid="{D5CDD505-2E9C-101B-9397-08002B2CF9AE}" pid="158" name="V_CUST_Approved PDF Rendition Link">
    <vt:lpwstr/>
  </property>
  <property fmtid="{D5CDD505-2E9C-101B-9397-08002B2CF9AE}" pid="159" name="My hashed value">
    <vt:lpwstr/>
  </property>
  <property fmtid="{D5CDD505-2E9C-101B-9397-08002B2CF9AE}" pid="160" name="V_TM_Approved PDF Rendition Link">
    <vt:lpwstr/>
  </property>
  <property fmtid="{D5CDD505-2E9C-101B-9397-08002B2CF9AE}" pid="161" name="Activity">
    <vt:lpwstr>WP 001 - Christchurch CC District Plan Review</vt:lpwstr>
  </property>
  <property fmtid="{D5CDD505-2E9C-101B-9397-08002B2CF9AE}" pid="162" name="Approval Status">
    <vt:lpwstr/>
  </property>
  <property fmtid="{D5CDD505-2E9C-101B-9397-08002B2CF9AE}" pid="163" name="Beca Company">
    <vt:lpwstr>014 - Beca Limited</vt:lpwstr>
  </property>
  <property fmtid="{D5CDD505-2E9C-101B-9397-08002B2CF9AE}" pid="164" name="Beca Id">
    <vt:lpwstr/>
  </property>
  <property fmtid="{D5CDD505-2E9C-101B-9397-08002B2CF9AE}" pid="165" name="Beca Job Director">
    <vt:lpwstr>Ainsley McLeod</vt:lpwstr>
  </property>
  <property fmtid="{D5CDD505-2E9C-101B-9397-08002B2CF9AE}" pid="166" name="Beca Job Manager">
    <vt:lpwstr>Hywel Edwards</vt:lpwstr>
  </property>
  <property fmtid="{D5CDD505-2E9C-101B-9397-08002B2CF9AE}" pid="167" name="Beca Section">
    <vt:lpwstr>014-426 Wellington Planning - BL</vt:lpwstr>
  </property>
  <property fmtid="{D5CDD505-2E9C-101B-9397-08002B2CF9AE}" pid="168" name="Case ID">
    <vt:lpwstr>WP 001 - Christchurch CC District Plan Review</vt:lpwstr>
  </property>
  <property fmtid="{D5CDD505-2E9C-101B-9397-08002B2CF9AE}" pid="169" name="Client Contact">
    <vt:lpwstr>Jo Mooar</vt:lpwstr>
  </property>
  <property fmtid="{D5CDD505-2E9C-101B-9397-08002B2CF9AE}" pid="170" name="Client Organisation">
    <vt:lpwstr>Transpower New Zealand Ltd</vt:lpwstr>
  </property>
  <property fmtid="{D5CDD505-2E9C-101B-9397-08002B2CF9AE}" pid="171" name="Client Parent">
    <vt:lpwstr/>
  </property>
  <property fmtid="{D5CDD505-2E9C-101B-9397-08002B2CF9AE}" pid="172" name="Function">
    <vt:lpwstr>Projects</vt:lpwstr>
  </property>
  <property fmtid="{D5CDD505-2E9C-101B-9397-08002B2CF9AE}" pid="173" name="Function Grouping">
    <vt:lpwstr>Clients</vt:lpwstr>
  </property>
  <property fmtid="{D5CDD505-2E9C-101B-9397-08002B2CF9AE}" pid="174" name="GL Code">
    <vt:lpwstr/>
  </property>
  <property fmtid="{D5CDD505-2E9C-101B-9397-08002B2CF9AE}" pid="175" name="Job Name">
    <vt:lpwstr>Environmental Outsourcing</vt:lpwstr>
  </property>
  <property fmtid="{D5CDD505-2E9C-101B-9397-08002B2CF9AE}" pid="176" name="Jurisdiction">
    <vt:lpwstr/>
  </property>
  <property fmtid="{D5CDD505-2E9C-101B-9397-08002B2CF9AE}" pid="177" name="Market Segment">
    <vt:lpwstr>Power Transmission</vt:lpwstr>
  </property>
  <property fmtid="{D5CDD505-2E9C-101B-9397-08002B2CF9AE}" pid="178" name="Project ID">
    <vt:lpwstr/>
  </property>
  <property fmtid="{D5CDD505-2E9C-101B-9397-08002B2CF9AE}" pid="179" name="Project Location">
    <vt:lpwstr>*Wellington Region</vt:lpwstr>
  </property>
  <property fmtid="{D5CDD505-2E9C-101B-9397-08002B2CF9AE}" pid="180" name="QMS Code">
    <vt:lpwstr/>
  </property>
  <property fmtid="{D5CDD505-2E9C-101B-9397-08002B2CF9AE}" pid="181" name="Risk Category">
    <vt:lpwstr/>
  </property>
  <property fmtid="{D5CDD505-2E9C-101B-9397-08002B2CF9AE}" pid="182" name="Site">
    <vt:lpwstr>NZ</vt:lpwstr>
  </property>
  <property fmtid="{D5CDD505-2E9C-101B-9397-08002B2CF9AE}" pid="183" name="Subactivity">
    <vt:lpwstr>Deliverables</vt:lpwstr>
  </property>
  <property fmtid="{D5CDD505-2E9C-101B-9397-08002B2CF9AE}" pid="184" name="Third party Ref">
    <vt:lpwstr/>
  </property>
  <property fmtid="{D5CDD505-2E9C-101B-9397-08002B2CF9AE}" pid="185" name="D_STAT_Locked By">
    <vt:lpwstr>Ainsley McLeod</vt:lpwstr>
  </property>
  <property fmtid="{D5CDD505-2E9C-101B-9397-08002B2CF9AE}" pid="186" name="D_STAT_Mime Type">
    <vt:lpwstr/>
  </property>
  <property fmtid="{D5CDD505-2E9C-101B-9397-08002B2CF9AE}" pid="187" name="D_CUST_Document Template">
    <vt:lpwstr>Blank Document</vt:lpwstr>
  </property>
  <property fmtid="{D5CDD505-2E9C-101B-9397-08002B2CF9AE}" pid="188" name="V_STAT_Version Number">
    <vt:r8>1</vt:r8>
  </property>
  <property fmtid="{D5CDD505-2E9C-101B-9397-08002B2CF9AE}" pid="189" name="V_STAT_Minor Version">
    <vt:r8>1</vt:r8>
  </property>
  <property fmtid="{D5CDD505-2E9C-101B-9397-08002B2CF9AE}" pid="190" name="V_STAT_Major Version">
    <vt:r8>0</vt:r8>
  </property>
  <property fmtid="{D5CDD505-2E9C-101B-9397-08002B2CF9AE}" pid="191" name="V_STAT_Last Accessed Date">
    <vt:filetime>2018-03-19T17:07:27Z</vt:filetime>
  </property>
  <property fmtid="{D5CDD505-2E9C-101B-9397-08002B2CF9AE}" pid="192" name="V_STAT_Last Accessed By">
    <vt:lpwstr>Ainsley McLeod</vt:lpwstr>
  </property>
  <property fmtid="{D5CDD505-2E9C-101B-9397-08002B2CF9AE}" pid="193" name="V_STAT_IsMajorVersion">
    <vt:bool>false</vt:bool>
  </property>
  <property fmtid="{D5CDD505-2E9C-101B-9397-08002B2CF9AE}" pid="194" name="V_STAT_File Size">
    <vt:r8>138652</vt:r8>
  </property>
  <property fmtid="{D5CDD505-2E9C-101B-9397-08002B2CF9AE}" pid="195" name="V_STAT_File Availability">
    <vt:r8>0</vt:r8>
  </property>
  <property fmtid="{D5CDD505-2E9C-101B-9397-08002B2CF9AE}" pid="196" name="V_STAT_Comment">
    <vt:lpwstr>Checked in by system</vt:lpwstr>
  </property>
  <property fmtid="{D5CDD505-2E9C-101B-9397-08002B2CF9AE}" pid="197" name="V_STAT_Check in date">
    <vt:filetime>2018-03-19T17:07:27Z</vt:filetime>
  </property>
  <property fmtid="{D5CDD505-2E9C-101B-9397-08002B2CF9AE}" pid="198" name="V_STAT_Check in by">
    <vt:lpwstr>Ainsley McLeod</vt:lpwstr>
  </property>
  <property fmtid="{D5CDD505-2E9C-101B-9397-08002B2CF9AE}" pid="199" name="V_CUST_Beca Document ID">
    <vt:lpwstr>NZ1-15219522-1</vt:lpwstr>
  </property>
  <property fmtid="{D5CDD505-2E9C-101B-9397-08002B2CF9AE}" pid="200" name="FM_Subactivity">
    <vt:lpwstr>Deliverables</vt:lpwstr>
  </property>
  <property fmtid="{D5CDD505-2E9C-101B-9397-08002B2CF9AE}" pid="201" name="FM_Site">
    <vt:lpwstr>NZ</vt:lpwstr>
  </property>
  <property fmtid="{D5CDD505-2E9C-101B-9397-08002B2CF9AE}" pid="202" name="D_STAT_PROP_W_title">
    <vt:lpwstr>Marlborough Environment Plan AM Evidence Topic 11 Coastal Environment</vt:lpwstr>
  </property>
  <property fmtid="{D5CDD505-2E9C-101B-9397-08002B2CF9AE}" pid="203" name="D_STAT_PROP_W_documentDate">
    <vt:filetime>2018-03-19T17:07:25Z</vt:filetime>
  </property>
  <property fmtid="{D5CDD505-2E9C-101B-9397-08002B2CF9AE}" pid="204" name="D_STAT_PROP_W_defaultLockFileName">
    <vt:lpwstr>NZ1-15219522-Marlborough Environment Plan AM Evidence Topic 11 Coastal Environment.docm</vt:lpwstr>
  </property>
  <property fmtid="{D5CDD505-2E9C-101B-9397-08002B2CF9AE}" pid="205" name="D_STAT_PROP_W_comment">
    <vt:lpwstr>Bell Gully</vt:lpwstr>
  </property>
  <property fmtid="{D5CDD505-2E9C-101B-9397-08002B2CF9AE}" pid="206" name="D_STAT_PROP_W_Author">
    <vt:lpwstr>Ainsley McLeod</vt:lpwstr>
  </property>
  <property fmtid="{D5CDD505-2E9C-101B-9397-08002B2CF9AE}" pid="207" name="D_STAT_PROP_originalFileName">
    <vt:lpwstr>New_Marlborough Environment Plan AM Evidence Topic 11 Coastal Environment.docm</vt:lpwstr>
  </property>
  <property fmtid="{D5CDD505-2E9C-101B-9397-08002B2CF9AE}" pid="208" name="D_STAT_PROP_lastModifiedDate">
    <vt:filetime>2018-03-19T17:07:28Z</vt:filetime>
  </property>
  <property fmtid="{D5CDD505-2E9C-101B-9397-08002B2CF9AE}" pid="209" name="D_STAT_PROP_lastModifiedByUserName">
    <vt:lpwstr>Ainsley McLeod</vt:lpwstr>
  </property>
  <property fmtid="{D5CDD505-2E9C-101B-9397-08002B2CF9AE}" pid="210" name="D_STAT_PROP_documentId">
    <vt:lpwstr>('New Zealand', 15219522)</vt:lpwstr>
  </property>
  <property fmtid="{D5CDD505-2E9C-101B-9397-08002B2CF9AE}" pid="211" name="D_STAT_PROP_dateAdded">
    <vt:filetime>2018-03-19T17:07:27Z</vt:filetime>
  </property>
  <property fmtid="{D5CDD505-2E9C-101B-9397-08002B2CF9AE}" pid="212" name="D_CUST_Prompt for Revision Details">
    <vt:lpwstr>False</vt:lpwstr>
  </property>
  <property fmtid="{D5CDD505-2E9C-101B-9397-08002B2CF9AE}" pid="213" name="FM_Project Location">
    <vt:lpwstr>*Wellington Region</vt:lpwstr>
  </property>
  <property fmtid="{D5CDD505-2E9C-101B-9397-08002B2CF9AE}" pid="214" name="D_STAT_Policy Id">
    <vt:r8>1</vt:r8>
  </property>
  <property fmtid="{D5CDD505-2E9C-101B-9397-08002B2CF9AE}" pid="215" name="Parent Folder Id">
    <vt:lpwstr>('New Zealand', 1600054)</vt:lpwstr>
  </property>
  <property fmtid="{D5CDD505-2E9C-101B-9397-08002B2CF9AE}" pid="216" name="D_CUST_Originator">
    <vt:lpwstr>Ainsley McLeod</vt:lpwstr>
  </property>
  <property fmtid="{D5CDD505-2E9C-101B-9397-08002B2CF9AE}" pid="217" name="D_CUST_Organisation ID">
    <vt:lpwstr>014</vt:lpwstr>
  </property>
  <property fmtid="{D5CDD505-2E9C-101B-9397-08002B2CF9AE}" pid="218" name="D_CUST_Organisation">
    <vt:lpwstr>Beca Ltd</vt:lpwstr>
  </property>
  <property fmtid="{D5CDD505-2E9C-101B-9397-08002B2CF9AE}" pid="219" name="OfficeDocumentIdentifier">
    <vt:lpwstr>('New Zealand', 15219522)_[NZ1-15219522-Marlborough Environment Plan AM Evidence Topic 11 Coastal Environment]</vt:lpwstr>
  </property>
  <property fmtid="{D5CDD505-2E9C-101B-9397-08002B2CF9AE}" pid="220" name="FM_Market Segment">
    <vt:lpwstr>Power Transmission</vt:lpwstr>
  </property>
  <property fmtid="{D5CDD505-2E9C-101B-9397-08002B2CF9AE}" pid="221" name="D_STAT_Local File Path">
    <vt:lpwstr>C:\Users\axm\Documents\Beca\ProjectMeridio\Working Copies\NZ1-15219522-Marlborough Environment Plan AM Evidence Topic 11 Coastal Environment.docm</vt:lpwstr>
  </property>
  <property fmtid="{D5CDD505-2E9C-101B-9397-08002B2CF9AE}" pid="222" name="D_CUST_Know how Value">
    <vt:lpwstr>No</vt:lpwstr>
  </property>
  <property fmtid="{D5CDD505-2E9C-101B-9397-08002B2CF9AE}" pid="223" name="FM_Job Number">
    <vt:lpwstr>4262042</vt:lpwstr>
  </property>
  <property fmtid="{D5CDD505-2E9C-101B-9397-08002B2CF9AE}" pid="224" name="FM_Job Name">
    <vt:lpwstr>Environmental Outsourcing</vt:lpwstr>
  </property>
  <property fmtid="{D5CDD505-2E9C-101B-9397-08002B2CF9AE}" pid="225" name="D_STAT_Is Record">
    <vt:bool>false</vt:bool>
  </property>
  <property fmtid="{D5CDD505-2E9C-101B-9397-08002B2CF9AE}" pid="226" name="D_STAT_Is Marked for Delete">
    <vt:bool>false</vt:bool>
  </property>
  <property fmtid="{D5CDD505-2E9C-101B-9397-08002B2CF9AE}" pid="227" name="D_STAT_Is Locked">
    <vt:bool>true</vt:bool>
  </property>
  <property fmtid="{D5CDD505-2E9C-101B-9397-08002B2CF9AE}" pid="228" name="D_STAT_IconFilename">
    <vt:lpwstr>document.ico</vt:lpwstr>
  </property>
  <property fmtid="{D5CDD505-2E9C-101B-9397-08002B2CF9AE}" pid="229" name="D_CUST_Has Paper Rendition">
    <vt:lpwstr>False</vt:lpwstr>
  </property>
  <property fmtid="{D5CDD505-2E9C-101B-9397-08002B2CF9AE}" pid="230" name="FM_Function Grouping">
    <vt:lpwstr>Clients</vt:lpwstr>
  </property>
  <property fmtid="{D5CDD505-2E9C-101B-9397-08002B2CF9AE}" pid="231" name="FM_Function">
    <vt:lpwstr>Projects</vt:lpwstr>
  </property>
  <property fmtid="{D5CDD505-2E9C-101B-9397-08002B2CF9AE}" pid="232" name="D_STAT_File Name">
    <vt:lpwstr>NZ1-15219522-Marlborough Environment Plan AM Evidence Topic 11 Coastal Environment.docm</vt:lpwstr>
  </property>
  <property fmtid="{D5CDD505-2E9C-101B-9397-08002B2CF9AE}" pid="233" name="D_CUST_Document Type">
    <vt:lpwstr>Blank Document</vt:lpwstr>
  </property>
  <property fmtid="{D5CDD505-2E9C-101B-9397-08002B2CF9AE}" pid="234" name="D_CUST_Document Subtype">
    <vt:lpwstr>Blank Document</vt:lpwstr>
  </property>
  <property fmtid="{D5CDD505-2E9C-101B-9397-08002B2CF9AE}" pid="235" name="FM_Client Organisation">
    <vt:lpwstr>Transpower New Zealand Ltd</vt:lpwstr>
  </property>
  <property fmtid="{D5CDD505-2E9C-101B-9397-08002B2CF9AE}" pid="236" name="FM_Client Contact">
    <vt:lpwstr>Jo Mooar</vt:lpwstr>
  </property>
  <property fmtid="{D5CDD505-2E9C-101B-9397-08002B2CF9AE}" pid="237" name="FM_Case ID">
    <vt:lpwstr>WP-030-030-Planning</vt:lpwstr>
  </property>
  <property fmtid="{D5CDD505-2E9C-101B-9397-08002B2CF9AE}" pid="238" name="D_CUST_Business Value">
    <vt:lpwstr>Normal</vt:lpwstr>
  </property>
  <property fmtid="{D5CDD505-2E9C-101B-9397-08002B2CF9AE}" pid="239" name="FM_Beca Section">
    <vt:lpwstr>014-426 Wellington Planning - BL</vt:lpwstr>
  </property>
  <property fmtid="{D5CDD505-2E9C-101B-9397-08002B2CF9AE}" pid="240" name="FM_Beca Job Manager">
    <vt:lpwstr>Hywel Edwards</vt:lpwstr>
  </property>
  <property fmtid="{D5CDD505-2E9C-101B-9397-08002B2CF9AE}" pid="241" name="FM_Beca Job Director">
    <vt:lpwstr>Ainsley McLeod</vt:lpwstr>
  </property>
  <property fmtid="{D5CDD505-2E9C-101B-9397-08002B2CF9AE}" pid="242" name="FM_Beca Company">
    <vt:lpwstr>014 - Beca Limited</vt:lpwstr>
  </property>
  <property fmtid="{D5CDD505-2E9C-101B-9397-08002B2CF9AE}" pid="243" name="D_CUST_Additional Reference Definition">
    <vt:lpwstr>Beca Reference</vt:lpwstr>
  </property>
  <property fmtid="{D5CDD505-2E9C-101B-9397-08002B2CF9AE}" pid="244" name="FM_Activity">
    <vt:lpwstr>WP-030-030-Planning</vt:lpwstr>
  </property>
  <property fmtid="{D5CDD505-2E9C-101B-9397-08002B2CF9AE}" pid="245" name="MSIP_Label_ec504e64-2eb9-4143-98d1-ab3085e5d939_Enabled">
    <vt:lpwstr>True</vt:lpwstr>
  </property>
  <property fmtid="{D5CDD505-2E9C-101B-9397-08002B2CF9AE}" pid="246" name="MSIP_Label_ec504e64-2eb9-4143-98d1-ab3085e5d939_Ref">
    <vt:lpwstr>https://api.informationprotection.azure.com/api/cb644580-6519-46f6-a00f-5bac4352068f</vt:lpwstr>
  </property>
  <property fmtid="{D5CDD505-2E9C-101B-9397-08002B2CF9AE}" pid="247" name="MSIP_Label_ec504e64-2eb9-4143-98d1-ab3085e5d939_DateCreated">
    <vt:lpwstr>2018-04-12T14:32:08.7339689+12:00</vt:lpwstr>
  </property>
  <property fmtid="{D5CDD505-2E9C-101B-9397-08002B2CF9AE}" pid="248" name="MSIP_Label_ec504e64-2eb9-4143-98d1-ab3085e5d939_Name">
    <vt:lpwstr>IN CONFIDENCE </vt:lpwstr>
  </property>
  <property fmtid="{D5CDD505-2E9C-101B-9397-08002B2CF9AE}" pid="249" name="MSIP_Label_ec504e64-2eb9-4143-98d1-ab3085e5d939_Extended_MSFT_Method">
    <vt:lpwstr>Automatic</vt:lpwstr>
  </property>
  <property fmtid="{D5CDD505-2E9C-101B-9397-08002B2CF9AE}" pid="250" name="Sensitivity">
    <vt:lpwstr>IN CONFIDENCE </vt:lpwstr>
  </property>
</Properties>
</file>