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892F3" w14:textId="77777777" w:rsidR="000C4376" w:rsidRPr="00016705" w:rsidRDefault="000C4376" w:rsidP="000C4376">
      <w:pPr>
        <w:spacing w:line="360" w:lineRule="auto"/>
        <w:rPr>
          <w:b/>
          <w:szCs w:val="22"/>
        </w:rPr>
      </w:pPr>
      <w:r w:rsidRPr="00F300CF">
        <w:rPr>
          <w:b/>
          <w:szCs w:val="22"/>
        </w:rPr>
        <w:t>BEFORE THE MACKENZIE DISTRICT COUNCIL</w:t>
      </w:r>
    </w:p>
    <w:p w14:paraId="682A7BAC" w14:textId="77777777" w:rsidR="000C4376" w:rsidRDefault="000C4376" w:rsidP="000C4376">
      <w:pPr>
        <w:spacing w:after="300" w:line="360" w:lineRule="auto"/>
        <w:rPr>
          <w:b/>
          <w:szCs w:val="22"/>
        </w:rPr>
      </w:pPr>
    </w:p>
    <w:p w14:paraId="40D75804" w14:textId="77777777" w:rsidR="000C4376" w:rsidRDefault="000C4376" w:rsidP="000C4376">
      <w:pPr>
        <w:spacing w:after="300" w:line="360" w:lineRule="auto"/>
        <w:rPr>
          <w:b/>
          <w:szCs w:val="22"/>
        </w:rPr>
      </w:pPr>
    </w:p>
    <w:p w14:paraId="205865D3" w14:textId="77777777" w:rsidR="000C4376" w:rsidRPr="00F300CF" w:rsidRDefault="000C4376" w:rsidP="000C4376">
      <w:pPr>
        <w:spacing w:after="300" w:line="360" w:lineRule="auto"/>
        <w:ind w:left="2835" w:hanging="2835"/>
        <w:rPr>
          <w:b/>
          <w:szCs w:val="22"/>
        </w:rPr>
      </w:pPr>
      <w:r>
        <w:rPr>
          <w:bCs/>
          <w:szCs w:val="22"/>
        </w:rPr>
        <w:t>Under</w:t>
      </w:r>
      <w:r>
        <w:rPr>
          <w:bCs/>
          <w:szCs w:val="22"/>
        </w:rPr>
        <w:tab/>
      </w:r>
      <w:proofErr w:type="gramStart"/>
      <w:r>
        <w:rPr>
          <w:b/>
          <w:szCs w:val="22"/>
        </w:rPr>
        <w:t>The</w:t>
      </w:r>
      <w:proofErr w:type="gramEnd"/>
      <w:r>
        <w:rPr>
          <w:b/>
          <w:szCs w:val="22"/>
        </w:rPr>
        <w:t xml:space="preserve"> Resource Management Act 1991</w:t>
      </w:r>
    </w:p>
    <w:p w14:paraId="7A47175B" w14:textId="285A6B1F" w:rsidR="000C4376" w:rsidRDefault="00850911" w:rsidP="00850911">
      <w:pPr>
        <w:tabs>
          <w:tab w:val="left" w:pos="9030"/>
        </w:tabs>
        <w:spacing w:after="300" w:line="360" w:lineRule="auto"/>
        <w:rPr>
          <w:b/>
          <w:szCs w:val="22"/>
        </w:rPr>
      </w:pPr>
      <w:r>
        <w:rPr>
          <w:b/>
          <w:szCs w:val="22"/>
        </w:rPr>
        <w:tab/>
      </w:r>
    </w:p>
    <w:p w14:paraId="1457F7BF" w14:textId="77777777" w:rsidR="000C4376" w:rsidRDefault="000C4376" w:rsidP="000C4376">
      <w:pPr>
        <w:spacing w:line="360" w:lineRule="auto"/>
        <w:rPr>
          <w:bCs/>
          <w:szCs w:val="22"/>
        </w:rPr>
      </w:pPr>
      <w:r>
        <w:rPr>
          <w:bCs/>
          <w:szCs w:val="22"/>
        </w:rPr>
        <w:t>And</w:t>
      </w:r>
    </w:p>
    <w:p w14:paraId="0DC80D44" w14:textId="77777777" w:rsidR="000C4376" w:rsidRDefault="000C4376" w:rsidP="000C4376">
      <w:pPr>
        <w:spacing w:after="300" w:line="360" w:lineRule="auto"/>
        <w:ind w:left="2835" w:hanging="2835"/>
        <w:rPr>
          <w:b/>
          <w:szCs w:val="22"/>
        </w:rPr>
      </w:pPr>
      <w:r>
        <w:rPr>
          <w:bCs/>
          <w:szCs w:val="22"/>
        </w:rPr>
        <w:t>In the matter of</w:t>
      </w:r>
      <w:r>
        <w:rPr>
          <w:bCs/>
          <w:szCs w:val="22"/>
        </w:rPr>
        <w:tab/>
      </w:r>
      <w:r>
        <w:rPr>
          <w:b/>
          <w:szCs w:val="22"/>
        </w:rPr>
        <w:t>a submission on the proposed Plan Change 18 to the Mackenzie District Plan</w:t>
      </w:r>
    </w:p>
    <w:p w14:paraId="4EB1A9FE" w14:textId="77777777" w:rsidR="000C4376" w:rsidRDefault="000C4376" w:rsidP="000C4376">
      <w:pPr>
        <w:rPr>
          <w:b/>
          <w:szCs w:val="22"/>
        </w:rPr>
      </w:pPr>
    </w:p>
    <w:p w14:paraId="10D34945" w14:textId="77777777" w:rsidR="000C4376" w:rsidRDefault="000C4376" w:rsidP="000C4376">
      <w:pPr>
        <w:rPr>
          <w:b/>
          <w:szCs w:val="22"/>
        </w:rPr>
      </w:pPr>
    </w:p>
    <w:p w14:paraId="14AEA74C" w14:textId="77777777" w:rsidR="000C4376" w:rsidRDefault="000C4376" w:rsidP="000C4376">
      <w:pPr>
        <w:rPr>
          <w:b/>
          <w:szCs w:val="22"/>
        </w:rPr>
      </w:pPr>
    </w:p>
    <w:p w14:paraId="0B54D02D" w14:textId="77777777" w:rsidR="000C4376" w:rsidRDefault="000C4376" w:rsidP="000C4376">
      <w:pPr>
        <w:rPr>
          <w:b/>
          <w:szCs w:val="22"/>
        </w:rPr>
      </w:pPr>
    </w:p>
    <w:p w14:paraId="4FC2FF5A" w14:textId="77777777" w:rsidR="000C4376" w:rsidRDefault="000C4376" w:rsidP="000C4376">
      <w:pPr>
        <w:rPr>
          <w:b/>
          <w:szCs w:val="22"/>
        </w:rPr>
      </w:pPr>
    </w:p>
    <w:p w14:paraId="06CAF199" w14:textId="77777777" w:rsidR="000C4376" w:rsidRDefault="000C4376" w:rsidP="000C4376">
      <w:pPr>
        <w:rPr>
          <w:b/>
          <w:szCs w:val="22"/>
        </w:rPr>
      </w:pPr>
    </w:p>
    <w:p w14:paraId="32A31C27" w14:textId="77777777" w:rsidR="000C4376" w:rsidRDefault="000C4376" w:rsidP="000C4376">
      <w:pPr>
        <w:rPr>
          <w:szCs w:val="22"/>
        </w:rPr>
      </w:pPr>
    </w:p>
    <w:p w14:paraId="367BC608" w14:textId="77777777" w:rsidR="000C4376" w:rsidRDefault="000C4376" w:rsidP="000C4376">
      <w:pPr>
        <w:rPr>
          <w:szCs w:val="22"/>
        </w:rPr>
      </w:pPr>
    </w:p>
    <w:p w14:paraId="4568EDC8" w14:textId="77777777" w:rsidR="000C4376" w:rsidRPr="00016705" w:rsidRDefault="000C4376" w:rsidP="000C4376">
      <w:pPr>
        <w:pBdr>
          <w:top w:val="single" w:sz="4" w:space="1" w:color="4D4D4D"/>
        </w:pBdr>
        <w:jc w:val="center"/>
        <w:rPr>
          <w:szCs w:val="22"/>
        </w:rPr>
      </w:pPr>
    </w:p>
    <w:p w14:paraId="6576F96E" w14:textId="1E4E803D" w:rsidR="000C4376" w:rsidRDefault="000C4376" w:rsidP="000C4376">
      <w:pPr>
        <w:spacing w:line="360" w:lineRule="auto"/>
        <w:jc w:val="center"/>
        <w:rPr>
          <w:b/>
          <w:szCs w:val="22"/>
        </w:rPr>
      </w:pPr>
      <w:r>
        <w:rPr>
          <w:b/>
          <w:szCs w:val="22"/>
        </w:rPr>
        <w:t>Legal submission</w:t>
      </w:r>
      <w:r w:rsidR="008B4F22">
        <w:rPr>
          <w:b/>
          <w:szCs w:val="22"/>
        </w:rPr>
        <w:t>s</w:t>
      </w:r>
      <w:r>
        <w:rPr>
          <w:b/>
          <w:szCs w:val="22"/>
        </w:rPr>
        <w:t xml:space="preserve"> </w:t>
      </w:r>
    </w:p>
    <w:p w14:paraId="204BE0C2" w14:textId="77777777" w:rsidR="000C4376" w:rsidRDefault="000C4376" w:rsidP="000C4376">
      <w:pPr>
        <w:spacing w:line="360" w:lineRule="auto"/>
        <w:jc w:val="center"/>
        <w:rPr>
          <w:b/>
          <w:szCs w:val="22"/>
        </w:rPr>
      </w:pPr>
      <w:r>
        <w:rPr>
          <w:b/>
          <w:szCs w:val="22"/>
        </w:rPr>
        <w:t>on behalf of the Director-General of Conservation</w:t>
      </w:r>
    </w:p>
    <w:p w14:paraId="19FA2641" w14:textId="77777777" w:rsidR="000C4376" w:rsidRDefault="000C4376" w:rsidP="000C4376">
      <w:pPr>
        <w:spacing w:line="360" w:lineRule="auto"/>
        <w:jc w:val="center"/>
        <w:rPr>
          <w:b/>
          <w:szCs w:val="22"/>
        </w:rPr>
      </w:pPr>
      <w:r>
        <w:rPr>
          <w:b/>
          <w:szCs w:val="22"/>
        </w:rPr>
        <w:t>Submitter Number: 18</w:t>
      </w:r>
    </w:p>
    <w:p w14:paraId="2C9A52CC" w14:textId="2B0AF545" w:rsidR="000C4376" w:rsidRPr="00F300CF" w:rsidRDefault="000C4376" w:rsidP="000C4376">
      <w:pPr>
        <w:jc w:val="center"/>
        <w:rPr>
          <w:b/>
          <w:bCs/>
          <w:szCs w:val="22"/>
        </w:rPr>
      </w:pPr>
      <w:r w:rsidRPr="00F300CF">
        <w:rPr>
          <w:b/>
          <w:bCs/>
          <w:szCs w:val="22"/>
        </w:rPr>
        <w:t xml:space="preserve">Dated: </w:t>
      </w:r>
      <w:r>
        <w:rPr>
          <w:b/>
          <w:bCs/>
          <w:szCs w:val="22"/>
        </w:rPr>
        <w:t xml:space="preserve">3 March </w:t>
      </w:r>
      <w:r w:rsidRPr="00F300CF">
        <w:rPr>
          <w:b/>
          <w:bCs/>
          <w:szCs w:val="22"/>
        </w:rPr>
        <w:t>2021</w:t>
      </w:r>
    </w:p>
    <w:p w14:paraId="37672504" w14:textId="77777777" w:rsidR="000C4376" w:rsidRPr="00016705" w:rsidRDefault="000C4376" w:rsidP="000C4376">
      <w:pPr>
        <w:pBdr>
          <w:bottom w:val="single" w:sz="4" w:space="1" w:color="4D4D4D"/>
        </w:pBdr>
        <w:jc w:val="center"/>
        <w:rPr>
          <w:szCs w:val="22"/>
        </w:rPr>
      </w:pPr>
    </w:p>
    <w:p w14:paraId="0B03DA2E" w14:textId="77777777" w:rsidR="000C4376" w:rsidRPr="00016705" w:rsidRDefault="000C4376" w:rsidP="000C4376">
      <w:pPr>
        <w:jc w:val="center"/>
        <w:rPr>
          <w:szCs w:val="22"/>
        </w:rPr>
      </w:pPr>
    </w:p>
    <w:p w14:paraId="2DD5D461" w14:textId="77777777" w:rsidR="000C4376" w:rsidRDefault="000C4376" w:rsidP="000C4376">
      <w:pPr>
        <w:spacing w:line="360" w:lineRule="auto"/>
        <w:jc w:val="center"/>
        <w:rPr>
          <w:rFonts w:cs="Arial"/>
          <w:color w:val="FF0000"/>
          <w:szCs w:val="22"/>
          <w:lang w:eastAsia="en-NZ"/>
        </w:rPr>
      </w:pPr>
    </w:p>
    <w:p w14:paraId="7F415384" w14:textId="77777777" w:rsidR="000C4376" w:rsidRDefault="000C4376" w:rsidP="000C4376">
      <w:pPr>
        <w:rPr>
          <w:rFonts w:cs="Arial"/>
          <w:b/>
          <w:szCs w:val="22"/>
          <w:lang w:eastAsia="en-NZ"/>
        </w:rPr>
      </w:pPr>
    </w:p>
    <w:p w14:paraId="082DFDB2" w14:textId="77777777" w:rsidR="000C4376" w:rsidRDefault="000C4376" w:rsidP="000C4376">
      <w:pPr>
        <w:rPr>
          <w:rFonts w:cs="Arial"/>
          <w:b/>
          <w:szCs w:val="22"/>
          <w:lang w:eastAsia="en-NZ"/>
        </w:rPr>
      </w:pPr>
    </w:p>
    <w:p w14:paraId="676A4A30" w14:textId="77777777" w:rsidR="000C4376" w:rsidRDefault="000C4376" w:rsidP="000C4376">
      <w:pPr>
        <w:rPr>
          <w:rFonts w:cs="Arial"/>
          <w:b/>
          <w:szCs w:val="22"/>
          <w:lang w:eastAsia="en-NZ"/>
        </w:rPr>
      </w:pPr>
    </w:p>
    <w:p w14:paraId="73ACF9F0" w14:textId="77777777" w:rsidR="000C4376" w:rsidRDefault="000C4376" w:rsidP="000C4376">
      <w:pPr>
        <w:rPr>
          <w:rFonts w:cs="Arial"/>
          <w:b/>
          <w:szCs w:val="22"/>
          <w:lang w:eastAsia="en-NZ"/>
        </w:rPr>
      </w:pPr>
    </w:p>
    <w:p w14:paraId="4DFD589C" w14:textId="77777777" w:rsidR="000C4376" w:rsidRDefault="000C4376" w:rsidP="000C4376">
      <w:pPr>
        <w:rPr>
          <w:rFonts w:cs="Arial"/>
          <w:b/>
          <w:szCs w:val="22"/>
          <w:lang w:eastAsia="en-NZ"/>
        </w:rPr>
      </w:pPr>
    </w:p>
    <w:p w14:paraId="0B3D2C38" w14:textId="77777777" w:rsidR="000C4376" w:rsidRDefault="000C4376" w:rsidP="000C4376">
      <w:pPr>
        <w:rPr>
          <w:rFonts w:cs="Arial"/>
          <w:b/>
          <w:szCs w:val="22"/>
          <w:lang w:eastAsia="en-NZ"/>
        </w:rPr>
      </w:pPr>
    </w:p>
    <w:p w14:paraId="44D62820" w14:textId="77777777" w:rsidR="000C4376" w:rsidRDefault="000C4376" w:rsidP="000C4376">
      <w:pPr>
        <w:rPr>
          <w:rFonts w:cs="Arial"/>
          <w:b/>
          <w:szCs w:val="22"/>
          <w:lang w:eastAsia="en-NZ"/>
        </w:rPr>
      </w:pPr>
    </w:p>
    <w:p w14:paraId="66CE2DE9" w14:textId="77777777" w:rsidR="000C4376" w:rsidRDefault="000C4376" w:rsidP="000C4376">
      <w:pPr>
        <w:rPr>
          <w:rFonts w:cs="Arial"/>
          <w:b/>
          <w:szCs w:val="22"/>
          <w:lang w:eastAsia="en-NZ"/>
        </w:rPr>
      </w:pPr>
    </w:p>
    <w:p w14:paraId="0EC43F21" w14:textId="77777777" w:rsidR="000C4376" w:rsidRDefault="000C4376" w:rsidP="000C4376">
      <w:pPr>
        <w:rPr>
          <w:rFonts w:cs="Arial"/>
          <w:b/>
          <w:szCs w:val="22"/>
          <w:lang w:eastAsia="en-NZ"/>
        </w:rPr>
      </w:pPr>
    </w:p>
    <w:p w14:paraId="19B695A7" w14:textId="77777777" w:rsidR="000C4376" w:rsidRDefault="000C4376" w:rsidP="000C4376">
      <w:pPr>
        <w:rPr>
          <w:rFonts w:cs="Arial"/>
          <w:b/>
          <w:szCs w:val="22"/>
          <w:lang w:eastAsia="en-NZ"/>
        </w:rPr>
      </w:pPr>
    </w:p>
    <w:p w14:paraId="0C97F825" w14:textId="77777777" w:rsidR="000C4376" w:rsidRPr="00F300CF" w:rsidRDefault="000C4376" w:rsidP="000C4376">
      <w:pPr>
        <w:pBdr>
          <w:top w:val="single" w:sz="4" w:space="1" w:color="auto"/>
        </w:pBdr>
        <w:spacing w:line="276" w:lineRule="auto"/>
        <w:rPr>
          <w:rFonts w:cs="Arial"/>
          <w:b/>
          <w:szCs w:val="22"/>
          <w:lang w:eastAsia="en-NZ"/>
        </w:rPr>
      </w:pPr>
      <w:r w:rsidRPr="00F300CF">
        <w:rPr>
          <w:rFonts w:cs="Arial"/>
          <w:b/>
          <w:szCs w:val="22"/>
          <w:lang w:eastAsia="en-NZ"/>
        </w:rPr>
        <w:t>Department of Conservation |</w:t>
      </w:r>
      <w:r>
        <w:rPr>
          <w:rFonts w:cs="Arial"/>
          <w:b/>
          <w:i/>
          <w:iCs/>
          <w:szCs w:val="22"/>
          <w:lang w:eastAsia="en-NZ"/>
        </w:rPr>
        <w:t xml:space="preserve"> </w:t>
      </w:r>
      <w:r w:rsidRPr="007A05A0">
        <w:rPr>
          <w:rFonts w:cs="Arial"/>
          <w:b/>
          <w:i/>
          <w:iCs/>
          <w:szCs w:val="22"/>
          <w:lang w:eastAsia="en-NZ"/>
        </w:rPr>
        <w:t>Te Papa Atawhai</w:t>
      </w:r>
    </w:p>
    <w:p w14:paraId="3D175A11" w14:textId="77777777" w:rsidR="000C4376" w:rsidRDefault="000C4376" w:rsidP="000C4376">
      <w:pPr>
        <w:pBdr>
          <w:top w:val="single" w:sz="4" w:space="1" w:color="auto"/>
        </w:pBdr>
        <w:spacing w:line="276" w:lineRule="auto"/>
        <w:rPr>
          <w:rFonts w:cs="Arial"/>
          <w:bCs/>
          <w:szCs w:val="22"/>
          <w:lang w:eastAsia="en-NZ"/>
        </w:rPr>
      </w:pPr>
      <w:r>
        <w:rPr>
          <w:rFonts w:cs="Arial"/>
          <w:bCs/>
          <w:szCs w:val="22"/>
          <w:lang w:eastAsia="en-NZ"/>
        </w:rPr>
        <w:t>PO Box 345</w:t>
      </w:r>
    </w:p>
    <w:p w14:paraId="43E7019D" w14:textId="77777777" w:rsidR="000C4376" w:rsidRPr="008D20CD" w:rsidRDefault="000C4376" w:rsidP="000C4376">
      <w:pPr>
        <w:pBdr>
          <w:top w:val="single" w:sz="4" w:space="1" w:color="auto"/>
        </w:pBdr>
        <w:spacing w:line="276" w:lineRule="auto"/>
        <w:rPr>
          <w:rFonts w:cs="Arial"/>
          <w:bCs/>
          <w:szCs w:val="22"/>
          <w:lang w:eastAsia="en-NZ"/>
        </w:rPr>
      </w:pPr>
      <w:r>
        <w:rPr>
          <w:rFonts w:cs="Arial"/>
          <w:bCs/>
          <w:szCs w:val="22"/>
          <w:lang w:eastAsia="en-NZ"/>
        </w:rPr>
        <w:t>C</w:t>
      </w:r>
      <w:r w:rsidRPr="008D20CD">
        <w:rPr>
          <w:rFonts w:cs="Arial"/>
          <w:bCs/>
          <w:szCs w:val="22"/>
          <w:lang w:eastAsia="en-NZ"/>
        </w:rPr>
        <w:t>hristchurch 8140</w:t>
      </w:r>
    </w:p>
    <w:p w14:paraId="1035A9CC" w14:textId="77777777" w:rsidR="000C4376" w:rsidRPr="001358D5" w:rsidRDefault="000C4376" w:rsidP="000C4376">
      <w:pPr>
        <w:pBdr>
          <w:top w:val="single" w:sz="4" w:space="1" w:color="auto"/>
        </w:pBdr>
        <w:spacing w:line="276" w:lineRule="auto"/>
        <w:rPr>
          <w:rFonts w:cs="Arial"/>
          <w:szCs w:val="22"/>
          <w:lang w:eastAsia="en-NZ"/>
        </w:rPr>
      </w:pPr>
      <w:r w:rsidRPr="001358D5">
        <w:rPr>
          <w:rFonts w:cs="Arial"/>
          <w:szCs w:val="22"/>
          <w:lang w:eastAsia="en-NZ"/>
        </w:rPr>
        <w:t xml:space="preserve">Solicitor: </w:t>
      </w:r>
      <w:r>
        <w:rPr>
          <w:rFonts w:cs="Arial"/>
          <w:szCs w:val="22"/>
          <w:lang w:eastAsia="en-NZ"/>
        </w:rPr>
        <w:t>Clare Lenihan</w:t>
      </w:r>
    </w:p>
    <w:p w14:paraId="75BFAEB4" w14:textId="0F8BCD43" w:rsidR="000C4376" w:rsidRDefault="000C4376" w:rsidP="000C4376">
      <w:pPr>
        <w:pBdr>
          <w:top w:val="single" w:sz="4" w:space="1" w:color="auto"/>
        </w:pBdr>
        <w:spacing w:line="276" w:lineRule="auto"/>
        <w:rPr>
          <w:rFonts w:cs="Arial"/>
          <w:szCs w:val="22"/>
          <w:lang w:eastAsia="en-NZ"/>
        </w:rPr>
      </w:pPr>
      <w:r w:rsidRPr="001358D5">
        <w:rPr>
          <w:rFonts w:cs="Arial"/>
          <w:szCs w:val="22"/>
          <w:lang w:eastAsia="en-NZ"/>
        </w:rPr>
        <w:t xml:space="preserve">Tel: </w:t>
      </w:r>
      <w:r>
        <w:rPr>
          <w:rFonts w:cs="Arial"/>
          <w:szCs w:val="22"/>
          <w:lang w:eastAsia="en-NZ"/>
        </w:rPr>
        <w:t xml:space="preserve">027 </w:t>
      </w:r>
      <w:r>
        <w:rPr>
          <w:rFonts w:eastAsiaTheme="minorEastAsia" w:cs="Arial"/>
          <w:noProof/>
          <w:sz w:val="20"/>
          <w:lang w:eastAsia="en-NZ"/>
        </w:rPr>
        <w:t>258 6173</w:t>
      </w:r>
    </w:p>
    <w:p w14:paraId="559E270D" w14:textId="1FF30A91" w:rsidR="000C4376" w:rsidRDefault="000C4376" w:rsidP="000C4376">
      <w:pPr>
        <w:pBdr>
          <w:top w:val="single" w:sz="4" w:space="1" w:color="auto"/>
        </w:pBdr>
        <w:spacing w:line="276" w:lineRule="auto"/>
        <w:rPr>
          <w:b/>
          <w:caps/>
        </w:rPr>
        <w:sectPr w:rsidR="000C4376" w:rsidSect="00484200">
          <w:headerReference w:type="default" r:id="rId11"/>
          <w:footerReference w:type="default" r:id="rId12"/>
          <w:footerReference w:type="first" r:id="rId13"/>
          <w:pgSz w:w="11907" w:h="16840" w:code="9"/>
          <w:pgMar w:top="1440" w:right="1440" w:bottom="1440" w:left="2268" w:header="567" w:footer="567" w:gutter="0"/>
          <w:pgNumType w:start="1"/>
          <w:cols w:space="720"/>
          <w:titlePg/>
          <w:docGrid w:linePitch="299"/>
        </w:sectPr>
      </w:pPr>
      <w:r>
        <w:rPr>
          <w:rFonts w:cs="Arial"/>
          <w:szCs w:val="22"/>
          <w:lang w:eastAsia="en-NZ"/>
        </w:rPr>
        <w:t>E</w:t>
      </w:r>
      <w:r w:rsidRPr="001358D5">
        <w:rPr>
          <w:rFonts w:cs="Arial"/>
          <w:szCs w:val="22"/>
          <w:lang w:eastAsia="en-NZ"/>
        </w:rPr>
        <w:t>mail:</w:t>
      </w:r>
      <w:r>
        <w:rPr>
          <w:rFonts w:cs="Arial"/>
          <w:szCs w:val="22"/>
          <w:lang w:eastAsia="en-NZ"/>
        </w:rPr>
        <w:t xml:space="preserve"> clenihan@doc.govt.nz</w:t>
      </w:r>
      <w:r w:rsidRPr="001358D5">
        <w:rPr>
          <w:rFonts w:cs="Arial"/>
          <w:szCs w:val="22"/>
          <w:lang w:eastAsia="en-NZ"/>
        </w:rPr>
        <w:t xml:space="preserve"> </w:t>
      </w:r>
    </w:p>
    <w:p w14:paraId="27189F97" w14:textId="350EAA64" w:rsidR="000C4376" w:rsidRPr="00EC07A5" w:rsidRDefault="000C4376" w:rsidP="000C4376">
      <w:pPr>
        <w:pStyle w:val="Paragraph"/>
      </w:pPr>
    </w:p>
    <w:p w14:paraId="36792066" w14:textId="2553DB92" w:rsidR="00641B05" w:rsidRPr="00C900C0" w:rsidRDefault="00C900C0" w:rsidP="00641B05">
      <w:pPr>
        <w:pStyle w:val="Heading2"/>
        <w:numPr>
          <w:ilvl w:val="0"/>
          <w:numId w:val="0"/>
        </w:numPr>
        <w:rPr>
          <w:b/>
          <w:bCs/>
        </w:rPr>
      </w:pPr>
      <w:r w:rsidRPr="00C900C0">
        <w:rPr>
          <w:b/>
          <w:bCs/>
        </w:rPr>
        <w:t>Introduction</w:t>
      </w:r>
    </w:p>
    <w:p w14:paraId="54450AB7" w14:textId="50D18CEF" w:rsidR="000C4376" w:rsidRDefault="000C4376" w:rsidP="000C4376">
      <w:pPr>
        <w:pStyle w:val="Heading2"/>
      </w:pPr>
      <w:r w:rsidRPr="00016705">
        <w:t xml:space="preserve">My name is </w:t>
      </w:r>
      <w:r>
        <w:t>Clare Lenihan</w:t>
      </w:r>
      <w:r w:rsidR="008B4F22">
        <w:t xml:space="preserve"> and I appear as counsel on behalf of the Director-General </w:t>
      </w:r>
      <w:r w:rsidR="006B400C">
        <w:t>of</w:t>
      </w:r>
      <w:r w:rsidR="008B4F22">
        <w:t xml:space="preserve"> </w:t>
      </w:r>
      <w:r w:rsidR="006B400C">
        <w:t>Conservation</w:t>
      </w:r>
      <w:r w:rsidR="008B4F22">
        <w:t xml:space="preserve"> (the Director General).</w:t>
      </w:r>
    </w:p>
    <w:p w14:paraId="72FC1987" w14:textId="331A18CA" w:rsidR="008B4F22" w:rsidRDefault="008B4F22" w:rsidP="00850911">
      <w:pPr>
        <w:pStyle w:val="Heading2"/>
      </w:pPr>
      <w:r>
        <w:t xml:space="preserve">The Director General made a </w:t>
      </w:r>
      <w:r w:rsidR="006B400C">
        <w:t>submission</w:t>
      </w:r>
      <w:r>
        <w:t xml:space="preserve"> and further submission on Plan Change 18. The main </w:t>
      </w:r>
      <w:r w:rsidR="006B400C">
        <w:t>thrust</w:t>
      </w:r>
      <w:r>
        <w:t xml:space="preserve"> of the Director General</w:t>
      </w:r>
      <w:r w:rsidR="00D8316E">
        <w:t>’s</w:t>
      </w:r>
      <w:r>
        <w:t xml:space="preserve"> submission and further </w:t>
      </w:r>
      <w:r w:rsidR="006B400C">
        <w:t>submission</w:t>
      </w:r>
      <w:r>
        <w:t xml:space="preserve"> were for the Council </w:t>
      </w:r>
      <w:r w:rsidR="006B400C">
        <w:t>to</w:t>
      </w:r>
      <w:r>
        <w:t xml:space="preserve"> provide </w:t>
      </w:r>
      <w:r w:rsidR="000C180A">
        <w:t>clearer</w:t>
      </w:r>
      <w:r>
        <w:t xml:space="preserve"> direction around</w:t>
      </w:r>
      <w:r w:rsidR="00850911">
        <w:t xml:space="preserve"> t</w:t>
      </w:r>
      <w:r>
        <w:t xml:space="preserve">he </w:t>
      </w:r>
      <w:r w:rsidR="006B400C">
        <w:t>protection</w:t>
      </w:r>
      <w:r>
        <w:t xml:space="preserve"> </w:t>
      </w:r>
      <w:r w:rsidR="006B400C">
        <w:t>of</w:t>
      </w:r>
      <w:r>
        <w:t xml:space="preserve"> significant indigenous biodiversity</w:t>
      </w:r>
      <w:r w:rsidR="00850911">
        <w:t>.</w:t>
      </w:r>
    </w:p>
    <w:p w14:paraId="26E7C400" w14:textId="665CE17B" w:rsidR="008B4F22" w:rsidRDefault="008B4F22" w:rsidP="000C4376">
      <w:pPr>
        <w:pStyle w:val="Heading2"/>
      </w:pPr>
      <w:r>
        <w:t xml:space="preserve">Several of the </w:t>
      </w:r>
      <w:r w:rsidR="006B400C">
        <w:t>Director</w:t>
      </w:r>
      <w:r>
        <w:t xml:space="preserve"> General concerns have been dealt with in the s42A report, subject </w:t>
      </w:r>
      <w:r w:rsidR="006B400C">
        <w:t>to</w:t>
      </w:r>
      <w:r>
        <w:t xml:space="preserve"> a few matters set out in the evidence of Ms Ching and detailed further below.</w:t>
      </w:r>
    </w:p>
    <w:p w14:paraId="3A33C255" w14:textId="4D91EF83" w:rsidR="00BA1D6D" w:rsidRDefault="00BA1D6D" w:rsidP="00850911">
      <w:pPr>
        <w:pStyle w:val="Heading2"/>
      </w:pPr>
      <w:r>
        <w:t xml:space="preserve">The remaining matter of concern to the Director-General that </w:t>
      </w:r>
      <w:r w:rsidR="006B400C">
        <w:t>differ</w:t>
      </w:r>
      <w:r w:rsidR="00850911">
        <w:t>s</w:t>
      </w:r>
      <w:r>
        <w:t xml:space="preserve"> f</w:t>
      </w:r>
      <w:r w:rsidR="006B400C">
        <w:t>r</w:t>
      </w:r>
      <w:r>
        <w:t>om the position put forward in the s42A report relate</w:t>
      </w:r>
      <w:r w:rsidR="00850911">
        <w:t>s</w:t>
      </w:r>
      <w:r>
        <w:t xml:space="preserve"> t</w:t>
      </w:r>
      <w:r w:rsidR="00850911">
        <w:t>o t</w:t>
      </w:r>
      <w:r>
        <w:t xml:space="preserve">he consent pathway </w:t>
      </w:r>
      <w:r w:rsidR="006B400C">
        <w:t>for</w:t>
      </w:r>
      <w:r>
        <w:t xml:space="preserve"> clearance </w:t>
      </w:r>
      <w:r w:rsidR="006B400C">
        <w:t>of</w:t>
      </w:r>
      <w:r>
        <w:t xml:space="preserve"> significant </w:t>
      </w:r>
      <w:r w:rsidR="006B400C">
        <w:t>indigenous</w:t>
      </w:r>
      <w:r>
        <w:t xml:space="preserve"> </w:t>
      </w:r>
      <w:r w:rsidR="006B400C">
        <w:t>vegetation</w:t>
      </w:r>
      <w:r w:rsidR="00850911">
        <w:t>.</w:t>
      </w:r>
    </w:p>
    <w:p w14:paraId="4C722FEF" w14:textId="7ED8272E" w:rsidR="000C4376" w:rsidRDefault="000C4376" w:rsidP="000C4376">
      <w:pPr>
        <w:pStyle w:val="Heading2"/>
      </w:pPr>
      <w:r>
        <w:t>These submission</w:t>
      </w:r>
      <w:r w:rsidR="00850911">
        <w:t>s</w:t>
      </w:r>
      <w:r>
        <w:t xml:space="preserve"> cover:</w:t>
      </w:r>
    </w:p>
    <w:p w14:paraId="4FE802FD" w14:textId="62C107B9" w:rsidR="00392B71" w:rsidRDefault="00392B71" w:rsidP="000C4376">
      <w:pPr>
        <w:pStyle w:val="Heading3"/>
      </w:pPr>
      <w:r>
        <w:t>S</w:t>
      </w:r>
      <w:r w:rsidR="006B400C">
        <w:t xml:space="preserve">tatutory </w:t>
      </w:r>
      <w:r w:rsidR="000C180A">
        <w:t>requirements</w:t>
      </w:r>
    </w:p>
    <w:p w14:paraId="0686E244" w14:textId="5F2149C5" w:rsidR="00392B71" w:rsidRDefault="00392B71" w:rsidP="000C4376">
      <w:pPr>
        <w:pStyle w:val="Heading3"/>
      </w:pPr>
      <w:r>
        <w:t>Relevant matters t</w:t>
      </w:r>
      <w:r w:rsidR="00D8316E">
        <w:t>o</w:t>
      </w:r>
      <w:r>
        <w:t xml:space="preserve"> </w:t>
      </w:r>
      <w:proofErr w:type="gramStart"/>
      <w:r>
        <w:t>consider</w:t>
      </w:r>
      <w:proofErr w:type="gramEnd"/>
    </w:p>
    <w:p w14:paraId="73FC1A4D" w14:textId="31DF5BC6" w:rsidR="00392B71" w:rsidRDefault="00392B71" w:rsidP="000C4376">
      <w:pPr>
        <w:pStyle w:val="Heading3"/>
      </w:pPr>
      <w:r>
        <w:t xml:space="preserve">What </w:t>
      </w:r>
      <w:r w:rsidR="006B400C">
        <w:t>needs</w:t>
      </w:r>
      <w:r>
        <w:t xml:space="preserve"> to b</w:t>
      </w:r>
      <w:r w:rsidR="00615B4C">
        <w:t>e</w:t>
      </w:r>
      <w:r>
        <w:t xml:space="preserve"> given effect to</w:t>
      </w:r>
      <w:r w:rsidR="00440588">
        <w:t xml:space="preserve"> (CRPS)</w:t>
      </w:r>
    </w:p>
    <w:p w14:paraId="718F8984" w14:textId="00F42199" w:rsidR="00D8316E" w:rsidRDefault="00D8316E" w:rsidP="000C4376">
      <w:pPr>
        <w:pStyle w:val="Heading3"/>
      </w:pPr>
      <w:r>
        <w:t>Proposed provisions</w:t>
      </w:r>
    </w:p>
    <w:p w14:paraId="3385F21F" w14:textId="74A9D968" w:rsidR="00932B78" w:rsidRDefault="00932B78" w:rsidP="000C4376">
      <w:pPr>
        <w:pStyle w:val="Heading3"/>
      </w:pPr>
      <w:r w:rsidRPr="00440588">
        <w:t>Scope</w:t>
      </w:r>
    </w:p>
    <w:p w14:paraId="6A1666E4" w14:textId="77EBAD69" w:rsidR="00850911" w:rsidRPr="00850911" w:rsidRDefault="00C900C0" w:rsidP="00850911">
      <w:pPr>
        <w:pStyle w:val="Heading3"/>
      </w:pPr>
      <w:r>
        <w:t xml:space="preserve">Proposed JWS </w:t>
      </w:r>
      <w:bookmarkStart w:id="0" w:name="_Hlk62817352"/>
    </w:p>
    <w:p w14:paraId="2DF48BDD" w14:textId="4496D92D" w:rsidR="00440588" w:rsidRPr="00440588" w:rsidRDefault="00440588" w:rsidP="007177CD">
      <w:pPr>
        <w:pStyle w:val="Heading2"/>
        <w:numPr>
          <w:ilvl w:val="0"/>
          <w:numId w:val="0"/>
        </w:numPr>
        <w:rPr>
          <w:b/>
          <w:bCs/>
        </w:rPr>
      </w:pPr>
      <w:r w:rsidRPr="00440588">
        <w:rPr>
          <w:b/>
          <w:bCs/>
        </w:rPr>
        <w:t>Evidence</w:t>
      </w:r>
    </w:p>
    <w:p w14:paraId="2373454F" w14:textId="13A957CD" w:rsidR="00440588" w:rsidRPr="00440588" w:rsidRDefault="00440588" w:rsidP="00440588">
      <w:pPr>
        <w:pStyle w:val="Heading2"/>
      </w:pPr>
      <w:r w:rsidRPr="00440588">
        <w:t>Exper</w:t>
      </w:r>
      <w:r w:rsidR="006B400C">
        <w:t>t</w:t>
      </w:r>
      <w:r w:rsidRPr="00440588">
        <w:t xml:space="preserve"> planning </w:t>
      </w:r>
      <w:r w:rsidR="006B400C" w:rsidRPr="00440588">
        <w:t>evidence</w:t>
      </w:r>
      <w:r w:rsidRPr="00440588">
        <w:t xml:space="preserve"> has been submitted by Ms Ching on behalf of the Director-General.</w:t>
      </w:r>
    </w:p>
    <w:p w14:paraId="42C9512B" w14:textId="0E52BD57" w:rsidR="000C4376" w:rsidRPr="00440588" w:rsidRDefault="000C4376" w:rsidP="00440588">
      <w:pPr>
        <w:pStyle w:val="Heading2"/>
        <w:numPr>
          <w:ilvl w:val="0"/>
          <w:numId w:val="0"/>
        </w:numPr>
        <w:rPr>
          <w:b/>
          <w:bCs/>
          <w:highlight w:val="yellow"/>
        </w:rPr>
      </w:pPr>
      <w:bookmarkStart w:id="1" w:name="_Toc63265873"/>
      <w:bookmarkEnd w:id="0"/>
      <w:r w:rsidRPr="00440588">
        <w:rPr>
          <w:b/>
          <w:bCs/>
        </w:rPr>
        <w:t xml:space="preserve">Statutory </w:t>
      </w:r>
      <w:bookmarkEnd w:id="1"/>
      <w:r w:rsidR="000C180A">
        <w:rPr>
          <w:b/>
          <w:bCs/>
        </w:rPr>
        <w:t>c</w:t>
      </w:r>
      <w:r w:rsidR="000C180A" w:rsidRPr="00440588">
        <w:rPr>
          <w:b/>
          <w:bCs/>
        </w:rPr>
        <w:t>onsiderations and</w:t>
      </w:r>
      <w:r w:rsidR="00440588" w:rsidRPr="00440588">
        <w:rPr>
          <w:b/>
          <w:bCs/>
        </w:rPr>
        <w:t xml:space="preserve"> relevant matters to </w:t>
      </w:r>
      <w:proofErr w:type="gramStart"/>
      <w:r w:rsidR="00440588" w:rsidRPr="00440588">
        <w:rPr>
          <w:b/>
          <w:bCs/>
        </w:rPr>
        <w:t>consider</w:t>
      </w:r>
      <w:proofErr w:type="gramEnd"/>
      <w:r w:rsidR="00440588" w:rsidRPr="00440588">
        <w:rPr>
          <w:b/>
          <w:bCs/>
        </w:rPr>
        <w:t xml:space="preserve"> </w:t>
      </w:r>
    </w:p>
    <w:p w14:paraId="763ED828" w14:textId="159E3FAC" w:rsidR="00D744C4" w:rsidRDefault="00D744C4" w:rsidP="00D744C4">
      <w:pPr>
        <w:pStyle w:val="Heading2"/>
      </w:pPr>
      <w:r>
        <w:t xml:space="preserve">Section 72 </w:t>
      </w:r>
      <w:r w:rsidR="00850911">
        <w:t xml:space="preserve">of the Act </w:t>
      </w:r>
      <w:r>
        <w:t xml:space="preserve">sets out the purpose of a </w:t>
      </w:r>
      <w:r w:rsidR="006B400C">
        <w:t>district</w:t>
      </w:r>
      <w:r>
        <w:t xml:space="preserve"> plan: </w:t>
      </w:r>
    </w:p>
    <w:p w14:paraId="5ACDC370" w14:textId="73EAFCFA" w:rsidR="00D744C4" w:rsidRDefault="00D744C4" w:rsidP="00850911">
      <w:pPr>
        <w:pStyle w:val="Heading2"/>
        <w:numPr>
          <w:ilvl w:val="0"/>
          <w:numId w:val="0"/>
        </w:numPr>
        <w:ind w:left="720"/>
      </w:pPr>
      <w:r>
        <w:t xml:space="preserve">The purpose of the preparation, implementation, and administration of district plans is to assist territorial authorities to carry out their functions </w:t>
      </w:r>
      <w:proofErr w:type="gramStart"/>
      <w:r>
        <w:t>in order to</w:t>
      </w:r>
      <w:proofErr w:type="gramEnd"/>
      <w:r>
        <w:t xml:space="preserve"> achieve the purpose of this </w:t>
      </w:r>
      <w:r w:rsidR="000C180A">
        <w:t>Act.</w:t>
      </w:r>
    </w:p>
    <w:p w14:paraId="053DF304" w14:textId="0DE1744C" w:rsidR="00810BD6" w:rsidRDefault="00810BD6" w:rsidP="000C4376">
      <w:pPr>
        <w:pStyle w:val="Heading2"/>
      </w:pPr>
      <w:r>
        <w:lastRenderedPageBreak/>
        <w:t>Section 74 sets out the matter</w:t>
      </w:r>
      <w:r w:rsidR="00850911">
        <w:t>s</w:t>
      </w:r>
      <w:r>
        <w:t xml:space="preserve"> to be considered by territorial </w:t>
      </w:r>
      <w:r w:rsidR="006B400C">
        <w:t>authorities</w:t>
      </w:r>
      <w:r>
        <w:t xml:space="preserve"> – they </w:t>
      </w:r>
      <w:r w:rsidR="006B400C">
        <w:t>must</w:t>
      </w:r>
      <w:r>
        <w:t xml:space="preserve"> prepare and change their district plans in accordance with:</w:t>
      </w:r>
    </w:p>
    <w:p w14:paraId="03FD72C9" w14:textId="7CBE58C0" w:rsidR="00810BD6" w:rsidRDefault="00810BD6" w:rsidP="00810BD6">
      <w:pPr>
        <w:pStyle w:val="Heading3"/>
      </w:pPr>
      <w:r>
        <w:t xml:space="preserve">Their </w:t>
      </w:r>
      <w:r w:rsidR="006B400C">
        <w:t>functions</w:t>
      </w:r>
      <w:r>
        <w:t xml:space="preserve"> under </w:t>
      </w:r>
      <w:r w:rsidR="000C180A">
        <w:t>s31.</w:t>
      </w:r>
    </w:p>
    <w:p w14:paraId="6B5327B4" w14:textId="1614F7D3" w:rsidR="00810BD6" w:rsidRDefault="00810BD6" w:rsidP="00810BD6">
      <w:pPr>
        <w:pStyle w:val="Heading3"/>
      </w:pPr>
      <w:r>
        <w:t xml:space="preserve">The </w:t>
      </w:r>
      <w:r w:rsidR="006B400C">
        <w:t>provisions</w:t>
      </w:r>
      <w:r>
        <w:t xml:space="preserve"> of Part </w:t>
      </w:r>
      <w:r w:rsidR="000C180A">
        <w:t>2...</w:t>
      </w:r>
    </w:p>
    <w:p w14:paraId="7B1CDD9E" w14:textId="4A49A32B" w:rsidR="00810BD6" w:rsidRDefault="00810BD6" w:rsidP="00810BD6">
      <w:pPr>
        <w:pStyle w:val="Heading3"/>
      </w:pPr>
      <w:r>
        <w:t xml:space="preserve">A national </w:t>
      </w:r>
      <w:r w:rsidR="006B400C">
        <w:t>policy</w:t>
      </w:r>
      <w:r>
        <w:t xml:space="preserve"> statement…</w:t>
      </w:r>
    </w:p>
    <w:p w14:paraId="0B55413C" w14:textId="51AA2CB2" w:rsidR="00810BD6" w:rsidRDefault="00810BD6" w:rsidP="000C4376">
      <w:pPr>
        <w:pStyle w:val="Heading2"/>
      </w:pPr>
      <w:r>
        <w:t>Section 75 sets out the contents of district plans. They must state:</w:t>
      </w:r>
    </w:p>
    <w:p w14:paraId="45D72F3B" w14:textId="1A1A952F" w:rsidR="00810BD6" w:rsidRDefault="00810BD6" w:rsidP="00810BD6">
      <w:pPr>
        <w:pStyle w:val="Heading3"/>
      </w:pPr>
      <w:r>
        <w:t xml:space="preserve">The </w:t>
      </w:r>
      <w:r w:rsidR="006B400C">
        <w:t>objectives</w:t>
      </w:r>
      <w:r>
        <w:t xml:space="preserve"> for the district</w:t>
      </w:r>
    </w:p>
    <w:p w14:paraId="6F9D6026" w14:textId="2A0E6E23" w:rsidR="00810BD6" w:rsidRDefault="00810BD6" w:rsidP="00810BD6">
      <w:pPr>
        <w:pStyle w:val="Heading3"/>
      </w:pPr>
      <w:r>
        <w:t xml:space="preserve">The policies to implement the </w:t>
      </w:r>
      <w:r w:rsidR="006B400C">
        <w:t>objectives</w:t>
      </w:r>
      <w:r>
        <w:t>; and</w:t>
      </w:r>
    </w:p>
    <w:p w14:paraId="117E80FD" w14:textId="7C8F9E0F" w:rsidR="00810BD6" w:rsidRDefault="00810BD6" w:rsidP="00810BD6">
      <w:pPr>
        <w:pStyle w:val="Heading3"/>
      </w:pPr>
      <w:r>
        <w:t xml:space="preserve">The rules (if any) to </w:t>
      </w:r>
      <w:r w:rsidR="006B400C">
        <w:t>implement</w:t>
      </w:r>
      <w:r>
        <w:t xml:space="preserve"> the </w:t>
      </w:r>
      <w:r w:rsidR="006B400C">
        <w:t>policies</w:t>
      </w:r>
      <w:r>
        <w:t>, s75(1).</w:t>
      </w:r>
    </w:p>
    <w:p w14:paraId="73EAED4B" w14:textId="689539A9" w:rsidR="00810BD6" w:rsidRDefault="00810BD6" w:rsidP="000C4376">
      <w:pPr>
        <w:pStyle w:val="Heading2"/>
      </w:pPr>
      <w:r>
        <w:t xml:space="preserve">The District Plan must </w:t>
      </w:r>
      <w:r w:rsidR="00850911">
        <w:t xml:space="preserve">also </w:t>
      </w:r>
      <w:r>
        <w:t>give effect to:</w:t>
      </w:r>
    </w:p>
    <w:p w14:paraId="36BFB1E3" w14:textId="1EEE0EAC" w:rsidR="00810BD6" w:rsidRDefault="000C180A" w:rsidP="00810BD6">
      <w:pPr>
        <w:pStyle w:val="Heading3"/>
      </w:pPr>
      <w:r>
        <w:t>A</w:t>
      </w:r>
      <w:r w:rsidR="00810BD6">
        <w:t xml:space="preserve"> national policy </w:t>
      </w:r>
      <w:r>
        <w:t>statement...</w:t>
      </w:r>
      <w:r w:rsidR="00810BD6">
        <w:t>; and</w:t>
      </w:r>
    </w:p>
    <w:p w14:paraId="22D10BC8" w14:textId="663CAE66" w:rsidR="00810BD6" w:rsidRDefault="00810BD6" w:rsidP="00810BD6">
      <w:pPr>
        <w:pStyle w:val="Heading3"/>
      </w:pPr>
      <w:r>
        <w:t xml:space="preserve">Any </w:t>
      </w:r>
      <w:r w:rsidR="006B400C">
        <w:t>regional</w:t>
      </w:r>
      <w:r>
        <w:t xml:space="preserve"> policy statement, s</w:t>
      </w:r>
      <w:r w:rsidR="00365373">
        <w:t>7</w:t>
      </w:r>
      <w:r>
        <w:t xml:space="preserve">5(3). </w:t>
      </w:r>
    </w:p>
    <w:p w14:paraId="6EB44A80" w14:textId="76A48869" w:rsidR="007C529C" w:rsidRPr="00850911" w:rsidRDefault="007C529C" w:rsidP="007C529C">
      <w:pPr>
        <w:pStyle w:val="Heading2"/>
      </w:pPr>
      <w:r w:rsidRPr="00850911">
        <w:t xml:space="preserve">The statutory framework </w:t>
      </w:r>
      <w:r w:rsidR="006B400C" w:rsidRPr="00850911">
        <w:t>for</w:t>
      </w:r>
      <w:r w:rsidRPr="00850911">
        <w:t xml:space="preserve"> the </w:t>
      </w:r>
      <w:r w:rsidR="006B400C" w:rsidRPr="00850911">
        <w:t>classification</w:t>
      </w:r>
      <w:r w:rsidRPr="00850911">
        <w:t xml:space="preserve"> of </w:t>
      </w:r>
      <w:r w:rsidR="006B400C" w:rsidRPr="00850911">
        <w:t>activities</w:t>
      </w:r>
      <w:r w:rsidRPr="00850911">
        <w:t xml:space="preserve"> is done via rules under s77A. Any such rules must be examined and assessed </w:t>
      </w:r>
      <w:r w:rsidR="00E202DD" w:rsidRPr="00850911">
        <w:t>in</w:t>
      </w:r>
      <w:r w:rsidRPr="00850911">
        <w:t xml:space="preserve"> </w:t>
      </w:r>
      <w:r w:rsidR="006B400C" w:rsidRPr="00850911">
        <w:t>accordance</w:t>
      </w:r>
      <w:r w:rsidRPr="00850911">
        <w:t xml:space="preserve"> with the requirements </w:t>
      </w:r>
      <w:r w:rsidR="006B400C" w:rsidRPr="00850911">
        <w:t>of</w:t>
      </w:r>
      <w:r w:rsidRPr="00850911">
        <w:t>:</w:t>
      </w:r>
    </w:p>
    <w:p w14:paraId="75DE7D3A" w14:textId="539997DC" w:rsidR="007C529C" w:rsidRPr="00850911" w:rsidRDefault="007C529C" w:rsidP="007C529C">
      <w:pPr>
        <w:pStyle w:val="Heading3"/>
      </w:pPr>
      <w:r w:rsidRPr="00850911">
        <w:t xml:space="preserve"> section 32 – are the provisions (rules) the most </w:t>
      </w:r>
      <w:r w:rsidR="006B400C" w:rsidRPr="00850911">
        <w:t>appropriate</w:t>
      </w:r>
      <w:r w:rsidRPr="00850911">
        <w:t xml:space="preserve"> way to </w:t>
      </w:r>
      <w:r w:rsidR="006B400C" w:rsidRPr="00850911">
        <w:t>achieve</w:t>
      </w:r>
      <w:r w:rsidRPr="00850911">
        <w:t xml:space="preserve"> the </w:t>
      </w:r>
      <w:r w:rsidR="006B400C" w:rsidRPr="00850911">
        <w:t>objectives</w:t>
      </w:r>
      <w:r w:rsidR="00E202DD" w:rsidRPr="00850911">
        <w:t xml:space="preserve"> (and policies);</w:t>
      </w:r>
      <w:r w:rsidRPr="00850911">
        <w:t xml:space="preserve"> and </w:t>
      </w:r>
    </w:p>
    <w:p w14:paraId="02C22261" w14:textId="47AE55B5" w:rsidR="00D20EBF" w:rsidRPr="00850911" w:rsidRDefault="007C529C" w:rsidP="007C529C">
      <w:pPr>
        <w:pStyle w:val="Heading3"/>
      </w:pPr>
      <w:r w:rsidRPr="00850911">
        <w:t>s</w:t>
      </w:r>
      <w:r w:rsidR="009C5898" w:rsidRPr="00850911">
        <w:t>ection 76(3</w:t>
      </w:r>
      <w:r w:rsidR="000C180A" w:rsidRPr="00850911">
        <w:t>) (</w:t>
      </w:r>
      <w:r w:rsidR="00D20EBF" w:rsidRPr="00850911">
        <w:t xml:space="preserve">District Rules) </w:t>
      </w:r>
      <w:r w:rsidRPr="00850911">
        <w:t xml:space="preserve">- </w:t>
      </w:r>
      <w:r w:rsidR="00D20EBF" w:rsidRPr="00850911">
        <w:t xml:space="preserve">in making a rule, the territorial authority shall have regard to the actual or potential effect on the </w:t>
      </w:r>
      <w:r w:rsidR="006B400C" w:rsidRPr="00850911">
        <w:t>environment</w:t>
      </w:r>
      <w:r w:rsidR="00D20EBF" w:rsidRPr="00850911">
        <w:t xml:space="preserve"> of activities, in </w:t>
      </w:r>
      <w:r w:rsidR="006B400C" w:rsidRPr="00850911">
        <w:t>in</w:t>
      </w:r>
      <w:r w:rsidR="00D20EBF" w:rsidRPr="00850911">
        <w:t>clu</w:t>
      </w:r>
      <w:r w:rsidR="006B400C" w:rsidRPr="00850911">
        <w:t>d</w:t>
      </w:r>
      <w:r w:rsidR="00D20EBF" w:rsidRPr="00850911">
        <w:t>ing</w:t>
      </w:r>
      <w:proofErr w:type="gramStart"/>
      <w:r w:rsidR="00D20EBF" w:rsidRPr="00850911">
        <w:t>, in particular, any</w:t>
      </w:r>
      <w:proofErr w:type="gramEnd"/>
      <w:r w:rsidR="00D20EBF" w:rsidRPr="00850911">
        <w:t xml:space="preserve"> adverse effect.</w:t>
      </w:r>
    </w:p>
    <w:p w14:paraId="07047FCC" w14:textId="77777777" w:rsidR="007C529C" w:rsidRPr="00850911" w:rsidRDefault="007C529C" w:rsidP="007C529C">
      <w:pPr>
        <w:pStyle w:val="Heading2"/>
        <w:numPr>
          <w:ilvl w:val="0"/>
          <w:numId w:val="0"/>
        </w:numPr>
        <w:rPr>
          <w:i/>
          <w:iCs/>
        </w:rPr>
      </w:pPr>
      <w:r w:rsidRPr="00850911">
        <w:rPr>
          <w:i/>
          <w:iCs/>
        </w:rPr>
        <w:t>Regional Policy Statement</w:t>
      </w:r>
    </w:p>
    <w:p w14:paraId="27A64AC3" w14:textId="450B2835" w:rsidR="00D05750" w:rsidRPr="00850911" w:rsidRDefault="00D05750" w:rsidP="00D05750">
      <w:pPr>
        <w:pStyle w:val="Heading2"/>
      </w:pPr>
      <w:r w:rsidRPr="00850911">
        <w:t xml:space="preserve">The relevant </w:t>
      </w:r>
      <w:r w:rsidR="006B400C" w:rsidRPr="00850911">
        <w:t>regional</w:t>
      </w:r>
      <w:r w:rsidRPr="00850911">
        <w:t xml:space="preserve"> policy statement (RPS) is the Canterbury RPS</w:t>
      </w:r>
      <w:r w:rsidR="00850911">
        <w:t xml:space="preserve"> (CRPS)</w:t>
      </w:r>
      <w:r w:rsidR="000C180A" w:rsidRPr="00850911">
        <w:t>.</w:t>
      </w:r>
    </w:p>
    <w:p w14:paraId="15768991" w14:textId="16AE013C" w:rsidR="00D05750" w:rsidRPr="00850911" w:rsidRDefault="006B400C" w:rsidP="00D05750">
      <w:pPr>
        <w:pStyle w:val="Heading2"/>
      </w:pPr>
      <w:r w:rsidRPr="00850911">
        <w:t>Objective</w:t>
      </w:r>
      <w:r w:rsidR="00D05750" w:rsidRPr="00850911">
        <w:t xml:space="preserve"> 9.2.3 </w:t>
      </w:r>
      <w:r w:rsidRPr="00850911">
        <w:t>Protection</w:t>
      </w:r>
      <w:r w:rsidR="00D05750" w:rsidRPr="00850911">
        <w:t xml:space="preserve"> </w:t>
      </w:r>
      <w:r w:rsidRPr="00850911">
        <w:t>of</w:t>
      </w:r>
      <w:r w:rsidR="00D05750" w:rsidRPr="00850911">
        <w:t xml:space="preserve"> significant </w:t>
      </w:r>
      <w:r w:rsidRPr="00850911">
        <w:t>indigenous</w:t>
      </w:r>
      <w:r w:rsidR="00D05750" w:rsidRPr="00850911">
        <w:t xml:space="preserve"> </w:t>
      </w:r>
      <w:r w:rsidRPr="00850911">
        <w:t>vegetation</w:t>
      </w:r>
      <w:r w:rsidR="00D05750" w:rsidRPr="00850911">
        <w:t xml:space="preserve"> and </w:t>
      </w:r>
      <w:r w:rsidRPr="00850911">
        <w:t>habitats</w:t>
      </w:r>
      <w:r w:rsidR="00D05750" w:rsidRPr="00850911">
        <w:t xml:space="preserve"> is </w:t>
      </w:r>
      <w:r w:rsidRPr="00850911">
        <w:t>relevant</w:t>
      </w:r>
      <w:r w:rsidR="00D05750" w:rsidRPr="00850911">
        <w:t xml:space="preserve">. Areas of </w:t>
      </w:r>
      <w:r w:rsidRPr="00850911">
        <w:t>significant</w:t>
      </w:r>
      <w:r w:rsidR="00D05750" w:rsidRPr="00850911">
        <w:t xml:space="preserve"> </w:t>
      </w:r>
      <w:r w:rsidRPr="00850911">
        <w:t>indigenous</w:t>
      </w:r>
      <w:r w:rsidR="00D05750" w:rsidRPr="00850911">
        <w:t xml:space="preserve"> </w:t>
      </w:r>
      <w:r w:rsidRPr="00850911">
        <w:t>vegetation</w:t>
      </w:r>
      <w:r w:rsidR="00D05750" w:rsidRPr="00850911">
        <w:t xml:space="preserve"> and significant </w:t>
      </w:r>
      <w:r w:rsidRPr="00850911">
        <w:t>habitat</w:t>
      </w:r>
      <w:r w:rsidR="00D05750" w:rsidRPr="00850911">
        <w:t xml:space="preserve"> of </w:t>
      </w:r>
      <w:r w:rsidRPr="00850911">
        <w:t>indigenous</w:t>
      </w:r>
      <w:r w:rsidR="00D05750" w:rsidRPr="00850911">
        <w:t xml:space="preserve"> fauna are </w:t>
      </w:r>
      <w:r w:rsidR="000C180A" w:rsidRPr="00850911">
        <w:t>identified,</w:t>
      </w:r>
      <w:r w:rsidR="00D05750" w:rsidRPr="00850911">
        <w:t xml:space="preserve"> and their values and ecosystems </w:t>
      </w:r>
      <w:r w:rsidRPr="00850911">
        <w:t>function</w:t>
      </w:r>
      <w:r w:rsidR="00D05750" w:rsidRPr="00850911">
        <w:t xml:space="preserve"> protected.</w:t>
      </w:r>
    </w:p>
    <w:p w14:paraId="6E8EB53E" w14:textId="77777777" w:rsidR="00850911" w:rsidRDefault="00D05750" w:rsidP="000C4376">
      <w:pPr>
        <w:pStyle w:val="Heading2"/>
      </w:pPr>
      <w:r w:rsidRPr="00850911">
        <w:t xml:space="preserve">The Director-General is </w:t>
      </w:r>
      <w:r w:rsidR="006B400C" w:rsidRPr="00850911">
        <w:t>satisfied</w:t>
      </w:r>
      <w:r w:rsidRPr="00850911">
        <w:t xml:space="preserve"> with the </w:t>
      </w:r>
      <w:r w:rsidR="006B400C" w:rsidRPr="00850911">
        <w:t>reference</w:t>
      </w:r>
      <w:r w:rsidRPr="00850911">
        <w:t xml:space="preserve"> to assessment </w:t>
      </w:r>
      <w:r w:rsidR="000C180A" w:rsidRPr="00850911">
        <w:t>criteria</w:t>
      </w:r>
      <w:r w:rsidRPr="00850911">
        <w:t xml:space="preserve"> for </w:t>
      </w:r>
      <w:r w:rsidR="006B400C" w:rsidRPr="00850911">
        <w:t>identification</w:t>
      </w:r>
      <w:r w:rsidRPr="00850911">
        <w:t xml:space="preserve"> of </w:t>
      </w:r>
      <w:r w:rsidR="00850911">
        <w:t>significant indigenous vegetation</w:t>
      </w:r>
      <w:r w:rsidRPr="00850911">
        <w:t xml:space="preserve">, so the focus is on </w:t>
      </w:r>
      <w:r w:rsidR="006B400C" w:rsidRPr="00850911">
        <w:t>protection</w:t>
      </w:r>
      <w:r w:rsidRPr="00850911">
        <w:t xml:space="preserve">. </w:t>
      </w:r>
    </w:p>
    <w:p w14:paraId="4F3265C2" w14:textId="77777777" w:rsidR="00850911" w:rsidRDefault="00850911" w:rsidP="000C4376">
      <w:pPr>
        <w:pStyle w:val="Heading2"/>
      </w:pPr>
      <w:r>
        <w:t xml:space="preserve">The issue the </w:t>
      </w:r>
      <w:proofErr w:type="spellStart"/>
      <w:r>
        <w:t>IDrecotr</w:t>
      </w:r>
      <w:proofErr w:type="spellEnd"/>
      <w:r>
        <w:t xml:space="preserve">-General would like you to consider is: </w:t>
      </w:r>
    </w:p>
    <w:p w14:paraId="5A2D4B56" w14:textId="37CB9560" w:rsidR="00D05750" w:rsidRDefault="00D05750" w:rsidP="00850911">
      <w:pPr>
        <w:pStyle w:val="Heading2"/>
        <w:numPr>
          <w:ilvl w:val="0"/>
          <w:numId w:val="0"/>
        </w:numPr>
        <w:ind w:firstLine="720"/>
      </w:pPr>
      <w:r w:rsidRPr="00850911">
        <w:lastRenderedPageBreak/>
        <w:t>I</w:t>
      </w:r>
      <w:r w:rsidR="006B400C" w:rsidRPr="00850911">
        <w:t>s</w:t>
      </w:r>
      <w:r w:rsidRPr="00850911">
        <w:t xml:space="preserve"> a </w:t>
      </w:r>
      <w:r w:rsidR="006B400C" w:rsidRPr="00850911">
        <w:t>restricted</w:t>
      </w:r>
      <w:r w:rsidRPr="00850911">
        <w:t xml:space="preserve"> </w:t>
      </w:r>
      <w:r w:rsidR="000C180A" w:rsidRPr="00850911">
        <w:t>discretionary</w:t>
      </w:r>
      <w:r w:rsidRPr="00850911">
        <w:t xml:space="preserve"> activity status the most appropriate way to achieve the </w:t>
      </w:r>
      <w:r w:rsidR="006B400C" w:rsidRPr="00850911">
        <w:t>objectives</w:t>
      </w:r>
      <w:r w:rsidRPr="00850911">
        <w:t xml:space="preserve"> </w:t>
      </w:r>
      <w:r w:rsidR="00850911" w:rsidRPr="00850911">
        <w:t xml:space="preserve">of the proposed Plan Change </w:t>
      </w:r>
      <w:r w:rsidRPr="00850911">
        <w:t xml:space="preserve">(which the Director-General is </w:t>
      </w:r>
      <w:r w:rsidR="006B400C" w:rsidRPr="00850911">
        <w:t>largely</w:t>
      </w:r>
      <w:r w:rsidRPr="00850911">
        <w:t xml:space="preserve"> supportive of)? </w:t>
      </w:r>
      <w:r w:rsidR="006B400C" w:rsidRPr="00850911">
        <w:t>Does</w:t>
      </w:r>
      <w:r w:rsidRPr="00850911">
        <w:t xml:space="preserve"> this activity status give effect to Objective 9.2.3 of the CRPS?</w:t>
      </w:r>
    </w:p>
    <w:p w14:paraId="7BB20176" w14:textId="14410ED4" w:rsidR="00D05750" w:rsidRDefault="00D05750" w:rsidP="000C4376">
      <w:pPr>
        <w:pStyle w:val="Heading2"/>
      </w:pPr>
      <w:r>
        <w:t xml:space="preserve">Ms Ching is </w:t>
      </w:r>
      <w:r w:rsidR="006B400C">
        <w:t>of</w:t>
      </w:r>
      <w:r>
        <w:t xml:space="preserve"> the view there is a gap in policy framework </w:t>
      </w:r>
      <w:r w:rsidR="006B400C">
        <w:t>for</w:t>
      </w:r>
      <w:r>
        <w:t xml:space="preserve"> protection that </w:t>
      </w:r>
      <w:r w:rsidR="006B400C">
        <w:t>does</w:t>
      </w:r>
      <w:r>
        <w:t xml:space="preserve"> not give effect to th</w:t>
      </w:r>
      <w:r w:rsidR="00484200">
        <w:t>e</w:t>
      </w:r>
      <w:r>
        <w:t xml:space="preserve"> CRPS (and s6(c) RMA)</w:t>
      </w:r>
      <w:r>
        <w:rPr>
          <w:rStyle w:val="FootnoteReference"/>
        </w:rPr>
        <w:footnoteReference w:id="2"/>
      </w:r>
      <w:proofErr w:type="gramStart"/>
      <w:r w:rsidR="00850911">
        <w:t>i.e.</w:t>
      </w:r>
      <w:proofErr w:type="gramEnd"/>
      <w:r w:rsidR="00484200">
        <w:t xml:space="preserve"> </w:t>
      </w:r>
      <w:r w:rsidR="00850911">
        <w:t>t</w:t>
      </w:r>
      <w:r w:rsidR="00484200">
        <w:t xml:space="preserve">here is a different approach </w:t>
      </w:r>
      <w:r w:rsidR="00E202DD">
        <w:t xml:space="preserve">to activities </w:t>
      </w:r>
      <w:r w:rsidR="00484200">
        <w:t>(unless identified a SONS):</w:t>
      </w:r>
    </w:p>
    <w:p w14:paraId="1C1A5AF8" w14:textId="01EF8E51" w:rsidR="00484200" w:rsidRDefault="00484200" w:rsidP="00484200">
      <w:pPr>
        <w:pStyle w:val="Heading3"/>
      </w:pPr>
      <w:r>
        <w:t xml:space="preserve">With a Farm </w:t>
      </w:r>
      <w:r w:rsidR="006B400C">
        <w:t>Biodiversity</w:t>
      </w:r>
      <w:r>
        <w:t xml:space="preserve"> Plan FBP), clearance of </w:t>
      </w:r>
      <w:r w:rsidR="00E202DD">
        <w:t xml:space="preserve">significant </w:t>
      </w:r>
      <w:r w:rsidR="006B400C">
        <w:t>indigenous</w:t>
      </w:r>
      <w:r>
        <w:t xml:space="preserve"> </w:t>
      </w:r>
      <w:r w:rsidR="006B400C">
        <w:t>vegetation</w:t>
      </w:r>
      <w:r>
        <w:t xml:space="preserve"> (irrespective of area) is a </w:t>
      </w:r>
      <w:r w:rsidR="006B400C">
        <w:t>restricted</w:t>
      </w:r>
      <w:r>
        <w:t xml:space="preserve"> </w:t>
      </w:r>
      <w:r w:rsidR="006B400C">
        <w:t>discretionary</w:t>
      </w:r>
      <w:r>
        <w:t xml:space="preserve"> </w:t>
      </w:r>
      <w:r w:rsidR="000C180A">
        <w:t>activity.</w:t>
      </w:r>
    </w:p>
    <w:p w14:paraId="28509A86" w14:textId="18961C7D" w:rsidR="00484200" w:rsidRDefault="00484200" w:rsidP="00484200">
      <w:pPr>
        <w:pStyle w:val="Heading3"/>
      </w:pPr>
      <w:r>
        <w:t xml:space="preserve">Where there is no FBP clearance of </w:t>
      </w:r>
      <w:r w:rsidR="00E202DD">
        <w:t xml:space="preserve">significant </w:t>
      </w:r>
      <w:r w:rsidR="006B400C">
        <w:t>indigenous</w:t>
      </w:r>
      <w:r>
        <w:t xml:space="preserve"> </w:t>
      </w:r>
      <w:proofErr w:type="gramStart"/>
      <w:r>
        <w:t>vegetation;</w:t>
      </w:r>
      <w:proofErr w:type="gramEnd"/>
    </w:p>
    <w:p w14:paraId="11872232" w14:textId="24368AFC" w:rsidR="00484200" w:rsidRDefault="00484200" w:rsidP="00484200">
      <w:pPr>
        <w:pStyle w:val="Heading3"/>
      </w:pPr>
      <w:r>
        <w:t xml:space="preserve">Less than 5000m2 in any continuous </w:t>
      </w:r>
      <w:r w:rsidR="000C180A">
        <w:t>5-year</w:t>
      </w:r>
      <w:r>
        <w:t xml:space="preserve"> period of a </w:t>
      </w:r>
      <w:r w:rsidR="006B400C">
        <w:t>restricted</w:t>
      </w:r>
      <w:r>
        <w:t xml:space="preserve"> </w:t>
      </w:r>
      <w:r w:rsidR="006B400C">
        <w:t>discretionary</w:t>
      </w:r>
      <w:r>
        <w:t xml:space="preserve"> activity (</w:t>
      </w:r>
      <w:r w:rsidR="006B400C">
        <w:t>Rule</w:t>
      </w:r>
      <w:r>
        <w:t xml:space="preserve"> 1.2.2</w:t>
      </w:r>
      <w:proofErr w:type="gramStart"/>
      <w:r>
        <w:t>)</w:t>
      </w:r>
      <w:r w:rsidR="00E202DD">
        <w:t>;</w:t>
      </w:r>
      <w:proofErr w:type="gramEnd"/>
    </w:p>
    <w:p w14:paraId="4CFEC55B" w14:textId="00E41825" w:rsidR="00484200" w:rsidRDefault="00484200" w:rsidP="00484200">
      <w:pPr>
        <w:pStyle w:val="Heading3"/>
      </w:pPr>
      <w:r>
        <w:t xml:space="preserve">Greater than 5000m2 in any </w:t>
      </w:r>
      <w:r w:rsidR="000C180A">
        <w:t>5-year</w:t>
      </w:r>
      <w:r>
        <w:t xml:space="preserve"> continuous period is a non-complying activity (Rule 1.3.1</w:t>
      </w:r>
      <w:r w:rsidR="00E202DD">
        <w:t>)</w:t>
      </w:r>
      <w:r>
        <w:t>.</w:t>
      </w:r>
    </w:p>
    <w:p w14:paraId="0EE2EAC6" w14:textId="3E11B6A7" w:rsidR="00905842" w:rsidRDefault="00905842" w:rsidP="000C4376">
      <w:pPr>
        <w:pStyle w:val="Heading2"/>
      </w:pPr>
      <w:r>
        <w:t xml:space="preserve">There is </w:t>
      </w:r>
      <w:r w:rsidR="00A070B3">
        <w:t xml:space="preserve">nothing in the </w:t>
      </w:r>
      <w:r w:rsidR="00E202DD">
        <w:t>C</w:t>
      </w:r>
      <w:r w:rsidR="00A070B3">
        <w:t xml:space="preserve">RPS which indicates </w:t>
      </w:r>
      <w:r w:rsidR="00A070B3" w:rsidRPr="00850911">
        <w:t xml:space="preserve">the issue of protection </w:t>
      </w:r>
      <w:r w:rsidR="00440588" w:rsidRPr="00850911">
        <w:t xml:space="preserve">of significant </w:t>
      </w:r>
      <w:r w:rsidR="006B400C" w:rsidRPr="00850911">
        <w:t>indigenous</w:t>
      </w:r>
      <w:r w:rsidR="00440588" w:rsidRPr="00850911">
        <w:t xml:space="preserve"> </w:t>
      </w:r>
      <w:r w:rsidR="006B400C" w:rsidRPr="00850911">
        <w:t>vegetation</w:t>
      </w:r>
      <w:r w:rsidR="00440588" w:rsidRPr="00850911">
        <w:t xml:space="preserve"> and </w:t>
      </w:r>
      <w:r w:rsidR="006B400C" w:rsidRPr="00850911">
        <w:t>habitats</w:t>
      </w:r>
      <w:r w:rsidR="00440588" w:rsidRPr="00850911">
        <w:t xml:space="preserve"> of </w:t>
      </w:r>
      <w:r w:rsidR="006B400C" w:rsidRPr="00850911">
        <w:t>significant</w:t>
      </w:r>
      <w:r w:rsidR="00440588" w:rsidRPr="00850911">
        <w:t xml:space="preserve"> </w:t>
      </w:r>
      <w:r w:rsidR="006B400C" w:rsidRPr="00850911">
        <w:t>fauna</w:t>
      </w:r>
      <w:r w:rsidR="00440588" w:rsidRPr="00850911">
        <w:t xml:space="preserve"> </w:t>
      </w:r>
      <w:r w:rsidR="00A070B3" w:rsidRPr="00850911">
        <w:t xml:space="preserve">should be dealt with differently, </w:t>
      </w:r>
      <w:r w:rsidR="00484200" w:rsidRPr="00850911">
        <w:t xml:space="preserve">as </w:t>
      </w:r>
      <w:r w:rsidR="00850911">
        <w:t>proposed in the rules.</w:t>
      </w:r>
      <w:r w:rsidR="00484200">
        <w:t xml:space="preserve"> </w:t>
      </w:r>
    </w:p>
    <w:p w14:paraId="16B856AD" w14:textId="6ECBA235" w:rsidR="00A070B3" w:rsidRDefault="00A070B3" w:rsidP="000C4376">
      <w:pPr>
        <w:pStyle w:val="Heading2"/>
      </w:pPr>
      <w:r>
        <w:t xml:space="preserve">There is nothing in the s32 report or the s42A report which </w:t>
      </w:r>
      <w:r w:rsidR="00E202DD">
        <w:t xml:space="preserve">set out </w:t>
      </w:r>
      <w:r>
        <w:t xml:space="preserve">a </w:t>
      </w:r>
      <w:r w:rsidR="00440588">
        <w:t xml:space="preserve">resource management reason </w:t>
      </w:r>
      <w:r w:rsidR="006B400C">
        <w:t>for</w:t>
      </w:r>
      <w:r>
        <w:t xml:space="preserve"> the different approach.</w:t>
      </w:r>
      <w:r w:rsidR="00641B05">
        <w:t xml:space="preserve"> </w:t>
      </w:r>
    </w:p>
    <w:p w14:paraId="09F499AD" w14:textId="7D6BF8B3" w:rsidR="00641B05" w:rsidRDefault="00641B05" w:rsidP="000C4376">
      <w:pPr>
        <w:pStyle w:val="Heading2"/>
      </w:pPr>
      <w:r>
        <w:t xml:space="preserve">Apart from some </w:t>
      </w:r>
      <w:r w:rsidR="006B400C">
        <w:t>minor</w:t>
      </w:r>
      <w:r>
        <w:t xml:space="preserve"> wording differences, there is large </w:t>
      </w:r>
      <w:r w:rsidR="006B400C">
        <w:t>agreement</w:t>
      </w:r>
      <w:r>
        <w:t xml:space="preserve"> on the </w:t>
      </w:r>
      <w:r w:rsidR="006B400C">
        <w:t>objectives</w:t>
      </w:r>
      <w:r>
        <w:t xml:space="preserve"> which give effect to </w:t>
      </w:r>
      <w:r w:rsidR="006B400C">
        <w:t>Objective</w:t>
      </w:r>
      <w:r>
        <w:t xml:space="preserve"> 9.2.3 of the CRPS. There is nothing in the </w:t>
      </w:r>
      <w:r w:rsidR="006B400C">
        <w:t>proposed</w:t>
      </w:r>
      <w:r>
        <w:t xml:space="preserve"> </w:t>
      </w:r>
      <w:r w:rsidR="006B400C">
        <w:t>objectives</w:t>
      </w:r>
      <w:r>
        <w:t xml:space="preserve"> (or the policies) which provide the rationale for the difference in approach.</w:t>
      </w:r>
      <w:r w:rsidR="00DA591E">
        <w:t xml:space="preserve"> </w:t>
      </w:r>
    </w:p>
    <w:p w14:paraId="033B2208" w14:textId="7A3ED34D" w:rsidR="00A070B3" w:rsidRDefault="00A070B3" w:rsidP="000C4376">
      <w:pPr>
        <w:pStyle w:val="Heading2"/>
      </w:pPr>
      <w:r>
        <w:t xml:space="preserve">There is a </w:t>
      </w:r>
      <w:r w:rsidR="006B400C">
        <w:t>significant</w:t>
      </w:r>
      <w:r>
        <w:t xml:space="preserve"> differen</w:t>
      </w:r>
      <w:r w:rsidR="00440588">
        <w:t>ce</w:t>
      </w:r>
      <w:r>
        <w:t xml:space="preserve"> in the activity status of non-complying, and </w:t>
      </w:r>
      <w:r w:rsidR="006B400C">
        <w:t>restricted</w:t>
      </w:r>
      <w:r>
        <w:t xml:space="preserve"> </w:t>
      </w:r>
      <w:r w:rsidR="006B400C">
        <w:t>discretionary</w:t>
      </w:r>
      <w:r w:rsidR="00BD5ADC">
        <w:t xml:space="preserve"> activities</w:t>
      </w:r>
      <w:r w:rsidR="00E202DD">
        <w:t xml:space="preserve"> for what is in essence the same activity – clearance of significant indigenous vegetation. </w:t>
      </w:r>
    </w:p>
    <w:p w14:paraId="26A5F540" w14:textId="77777777" w:rsidR="008E6E6D" w:rsidRDefault="00A070B3" w:rsidP="008E6E6D">
      <w:pPr>
        <w:pStyle w:val="Heading2"/>
      </w:pPr>
      <w:r>
        <w:t xml:space="preserve">This is compared to a non-complying activity, where the gateway test must first be passed – </w:t>
      </w:r>
      <w:r w:rsidR="00102A7F">
        <w:t>is the decision ma</w:t>
      </w:r>
      <w:r w:rsidR="002C229B">
        <w:t>k</w:t>
      </w:r>
      <w:r w:rsidR="00102A7F">
        <w:t xml:space="preserve">er satisfied </w:t>
      </w:r>
      <w:r>
        <w:t xml:space="preserve">the effects </w:t>
      </w:r>
      <w:r w:rsidR="00102A7F">
        <w:t xml:space="preserve">are </w:t>
      </w:r>
      <w:r>
        <w:t xml:space="preserve">minor, or </w:t>
      </w:r>
      <w:r w:rsidR="00102A7F">
        <w:t xml:space="preserve">the proposed activity is not contrary to the </w:t>
      </w:r>
      <w:r w:rsidR="006B400C">
        <w:t>objectives</w:t>
      </w:r>
      <w:r w:rsidR="00102A7F">
        <w:t xml:space="preserve"> and </w:t>
      </w:r>
      <w:r w:rsidR="000C180A">
        <w:t>policies</w:t>
      </w:r>
      <w:r w:rsidR="00102A7F">
        <w:t xml:space="preserve"> of the plan? </w:t>
      </w:r>
    </w:p>
    <w:p w14:paraId="5198A1FB" w14:textId="720A2DDF" w:rsidR="008E6E6D" w:rsidRDefault="008E6E6D" w:rsidP="008E6E6D">
      <w:pPr>
        <w:pStyle w:val="Heading2"/>
      </w:pPr>
      <w:r>
        <w:t>In my submission, the changes put forward by Ms Ching:</w:t>
      </w:r>
    </w:p>
    <w:p w14:paraId="0B8EC185" w14:textId="29EAB72B" w:rsidR="008E6E6D" w:rsidRDefault="008E6E6D" w:rsidP="008E6E6D">
      <w:pPr>
        <w:pStyle w:val="Heading3"/>
      </w:pPr>
      <w:r>
        <w:lastRenderedPageBreak/>
        <w:t>Give effect to the relevant provisions of the CRPS (and thus give effect to s6(c) of the Act)</w:t>
      </w:r>
    </w:p>
    <w:p w14:paraId="1B8573C5" w14:textId="746525B0" w:rsidR="008E6E6D" w:rsidRDefault="008E6E6D" w:rsidP="008E6E6D">
      <w:pPr>
        <w:pStyle w:val="Heading3"/>
      </w:pPr>
      <w:r>
        <w:t>Are the most appropriate provisions (in the s32 sense and having regard to the adverse effects of clearance of significant indigenous vegetation).</w:t>
      </w:r>
    </w:p>
    <w:p w14:paraId="195C6D40" w14:textId="3D2A5180" w:rsidR="009C5898" w:rsidRPr="008E6E6D" w:rsidRDefault="009C5898" w:rsidP="00266DF8">
      <w:pPr>
        <w:pStyle w:val="Heading2"/>
        <w:numPr>
          <w:ilvl w:val="0"/>
          <w:numId w:val="0"/>
        </w:numPr>
        <w:tabs>
          <w:tab w:val="num" w:pos="360"/>
        </w:tabs>
        <w:rPr>
          <w:rFonts w:asciiTheme="minorHAnsi" w:hAnsiTheme="minorHAnsi" w:cstheme="minorHAnsi"/>
          <w:b/>
          <w:bCs/>
        </w:rPr>
      </w:pPr>
      <w:r w:rsidRPr="008E6E6D">
        <w:rPr>
          <w:b/>
          <w:bCs/>
        </w:rPr>
        <w:t>Scope</w:t>
      </w:r>
    </w:p>
    <w:p w14:paraId="26FF4F03" w14:textId="41CDB5AF" w:rsidR="00850911" w:rsidRDefault="00850911" w:rsidP="00641B05">
      <w:pPr>
        <w:pStyle w:val="Heading2"/>
        <w:rPr>
          <w:rFonts w:cs="Arial"/>
          <w:szCs w:val="22"/>
        </w:rPr>
      </w:pPr>
      <w:r>
        <w:t xml:space="preserve">In relation to the consent pathway for clearance of significant indigenous vegetation on a farm, after considering the changes proposed in the s42A report, Ms Ching reached a different view to that previously put forward. Reviewing the original submission, further submissions the s42A report and the Canterbury Regional Policy Statement, Ms Ching now considers it is more appropriate the clearance of significant indigenous vegetation (no matter who the user) is dealt with consistently. </w:t>
      </w:r>
      <w:r w:rsidRPr="008E6E6D">
        <w:t xml:space="preserve">This means </w:t>
      </w:r>
      <w:r w:rsidR="008E6E6D">
        <w:t>there is no difference in activity status where the clearance is greater than 5000m2 in any 5-year period.</w:t>
      </w:r>
    </w:p>
    <w:p w14:paraId="5DA1EC71" w14:textId="2502058F" w:rsidR="008E6E6D" w:rsidRDefault="008E6E6D" w:rsidP="00641B05">
      <w:pPr>
        <w:pStyle w:val="Heading2"/>
        <w:rPr>
          <w:rFonts w:cs="Arial"/>
          <w:szCs w:val="22"/>
        </w:rPr>
      </w:pPr>
      <w:r>
        <w:rPr>
          <w:rFonts w:cs="Arial"/>
          <w:szCs w:val="22"/>
        </w:rPr>
        <w:t>Although this is a Council hearing, it is useful to consider case law on scope, which deals with appeals to the Environment Court.</w:t>
      </w:r>
    </w:p>
    <w:p w14:paraId="0E6B0789" w14:textId="07DA52AA" w:rsidR="00641B05" w:rsidRPr="005305AB" w:rsidRDefault="00641B05" w:rsidP="00641B05">
      <w:pPr>
        <w:pStyle w:val="Heading2"/>
        <w:rPr>
          <w:rFonts w:cs="Arial"/>
          <w:szCs w:val="22"/>
        </w:rPr>
      </w:pPr>
      <w:r w:rsidRPr="005305AB">
        <w:rPr>
          <w:rFonts w:cs="Arial"/>
          <w:szCs w:val="22"/>
        </w:rPr>
        <w:t xml:space="preserve">In </w:t>
      </w:r>
      <w:r w:rsidRPr="005305AB">
        <w:rPr>
          <w:rFonts w:cs="Arial"/>
          <w:i/>
          <w:iCs/>
          <w:szCs w:val="22"/>
        </w:rPr>
        <w:t>Re Vivid Holdings Limited</w:t>
      </w:r>
      <w:r w:rsidRPr="005305AB">
        <w:rPr>
          <w:rFonts w:cs="Arial"/>
          <w:szCs w:val="22"/>
        </w:rPr>
        <w:t xml:space="preserve"> the Environment Court noted that clause 14(1) requires an answer to the following questions:</w:t>
      </w:r>
      <w:r w:rsidRPr="005305AB">
        <w:rPr>
          <w:rStyle w:val="FootnoteReference"/>
          <w:rFonts w:cs="Arial"/>
          <w:szCs w:val="22"/>
        </w:rPr>
        <w:footnoteReference w:id="3"/>
      </w:r>
      <w:r w:rsidRPr="005305AB">
        <w:rPr>
          <w:rFonts w:cs="Arial"/>
          <w:szCs w:val="22"/>
        </w:rPr>
        <w:t xml:space="preserve">  </w:t>
      </w:r>
    </w:p>
    <w:p w14:paraId="3B0CC45F" w14:textId="20AD6666" w:rsidR="00641B05" w:rsidRPr="005305AB" w:rsidRDefault="00641B05" w:rsidP="00641B05">
      <w:pPr>
        <w:pStyle w:val="Heading3"/>
        <w:rPr>
          <w:rFonts w:cs="Arial"/>
          <w:szCs w:val="22"/>
        </w:rPr>
      </w:pPr>
      <w:r w:rsidRPr="005305AB">
        <w:rPr>
          <w:rFonts w:cs="Arial"/>
          <w:szCs w:val="22"/>
        </w:rPr>
        <w:t>Did the appellant make a submission?</w:t>
      </w:r>
    </w:p>
    <w:p w14:paraId="73D653CA" w14:textId="77777777" w:rsidR="00641B05" w:rsidRPr="005305AB" w:rsidRDefault="00641B05" w:rsidP="00641B05">
      <w:pPr>
        <w:pStyle w:val="Heading3"/>
        <w:rPr>
          <w:rFonts w:cs="Arial"/>
          <w:szCs w:val="22"/>
        </w:rPr>
      </w:pPr>
      <w:r w:rsidRPr="005305AB">
        <w:rPr>
          <w:rFonts w:cs="Arial"/>
          <w:szCs w:val="22"/>
        </w:rPr>
        <w:t>Does the appeal relate to one of the four matters referred to in subclauses 14(1)(a) to (d)?</w:t>
      </w:r>
    </w:p>
    <w:p w14:paraId="00596014" w14:textId="77777777" w:rsidR="00641B05" w:rsidRPr="005305AB" w:rsidRDefault="00641B05" w:rsidP="00641B05">
      <w:pPr>
        <w:pStyle w:val="Heading3"/>
        <w:rPr>
          <w:rFonts w:cs="Arial"/>
          <w:szCs w:val="22"/>
        </w:rPr>
      </w:pPr>
      <w:r w:rsidRPr="005305AB">
        <w:rPr>
          <w:rFonts w:cs="Arial"/>
          <w:szCs w:val="22"/>
        </w:rPr>
        <w:t xml:space="preserve">If the answer to (b) is “Yes”, then did the appellant refer to that “provision” or “matter” in their submission? </w:t>
      </w:r>
    </w:p>
    <w:p w14:paraId="7FC77DC2" w14:textId="77777777" w:rsidR="00641B05" w:rsidRPr="005305AB" w:rsidRDefault="00641B05" w:rsidP="00641B05">
      <w:pPr>
        <w:pStyle w:val="Heading2"/>
        <w:rPr>
          <w:rFonts w:cs="Arial"/>
          <w:szCs w:val="22"/>
        </w:rPr>
      </w:pPr>
      <w:r w:rsidRPr="005305AB">
        <w:rPr>
          <w:rFonts w:cs="Arial"/>
          <w:szCs w:val="22"/>
        </w:rPr>
        <w:t xml:space="preserve">In </w:t>
      </w:r>
      <w:r w:rsidRPr="005305AB">
        <w:rPr>
          <w:rFonts w:cs="Arial"/>
          <w:i/>
          <w:iCs/>
          <w:szCs w:val="22"/>
        </w:rPr>
        <w:t xml:space="preserve">Option 5 Inc v Marlborough District Council </w:t>
      </w:r>
      <w:r w:rsidRPr="005305AB">
        <w:rPr>
          <w:rFonts w:cs="Arial"/>
          <w:szCs w:val="22"/>
        </w:rPr>
        <w:t>the High Court stated that:</w:t>
      </w:r>
      <w:r w:rsidRPr="005305AB">
        <w:rPr>
          <w:rStyle w:val="FootnoteReference"/>
          <w:rFonts w:cs="Arial"/>
          <w:szCs w:val="22"/>
        </w:rPr>
        <w:footnoteReference w:id="4"/>
      </w:r>
    </w:p>
    <w:p w14:paraId="233078E9" w14:textId="77777777" w:rsidR="00641B05" w:rsidRPr="005305AB" w:rsidRDefault="00641B05" w:rsidP="00641B05">
      <w:pPr>
        <w:pStyle w:val="ListParagraph"/>
        <w:ind w:left="1440" w:right="1088"/>
        <w:jc w:val="both"/>
        <w:rPr>
          <w:rFonts w:ascii="Arial" w:hAnsi="Arial" w:cs="Arial"/>
        </w:rPr>
      </w:pPr>
      <w:r w:rsidRPr="005305AB">
        <w:rPr>
          <w:rFonts w:ascii="Arial" w:hAnsi="Arial" w:cs="Arial"/>
        </w:rPr>
        <w:t xml:space="preserve">The words “provision or matter” should be given a liberal interpretation, and thus a narrow technical interpretation of the words should be avoided … </w:t>
      </w:r>
      <w:proofErr w:type="gramStart"/>
      <w:r w:rsidRPr="005305AB">
        <w:rPr>
          <w:rFonts w:ascii="Arial" w:hAnsi="Arial" w:cs="Arial"/>
        </w:rPr>
        <w:t>As long as</w:t>
      </w:r>
      <w:proofErr w:type="gramEnd"/>
      <w:r w:rsidRPr="005305AB">
        <w:rPr>
          <w:rFonts w:ascii="Arial" w:hAnsi="Arial" w:cs="Arial"/>
        </w:rPr>
        <w:t xml:space="preserve"> it is clear the submitter has broadly referred to the provision or matter in issue this should be sufficient to give the Court jurisdiction to consider the appeal.</w:t>
      </w:r>
    </w:p>
    <w:p w14:paraId="159B470F" w14:textId="77777777" w:rsidR="00641B05" w:rsidRPr="005305AB" w:rsidRDefault="00641B05" w:rsidP="00641B05">
      <w:pPr>
        <w:pStyle w:val="ListParagraph"/>
        <w:ind w:left="1440"/>
        <w:jc w:val="both"/>
        <w:rPr>
          <w:rFonts w:ascii="Arial" w:hAnsi="Arial" w:cs="Arial"/>
        </w:rPr>
      </w:pPr>
    </w:p>
    <w:p w14:paraId="0101B7B6" w14:textId="77777777" w:rsidR="00641B05" w:rsidRPr="005305AB" w:rsidRDefault="00641B05" w:rsidP="00641B05">
      <w:pPr>
        <w:pStyle w:val="Heading2"/>
        <w:rPr>
          <w:rFonts w:cs="Arial"/>
          <w:szCs w:val="22"/>
        </w:rPr>
      </w:pPr>
      <w:r w:rsidRPr="005305AB">
        <w:rPr>
          <w:rFonts w:cs="Arial"/>
          <w:szCs w:val="22"/>
        </w:rPr>
        <w:t>The Environment Court has confirmed that “</w:t>
      </w:r>
      <w:r w:rsidRPr="005305AB">
        <w:rPr>
          <w:rFonts w:cs="Arial"/>
          <w:i/>
          <w:iCs/>
          <w:szCs w:val="22"/>
        </w:rPr>
        <w:t>A submission must be read as a whole since it may sometimes contain submissions which in themselves suggest relief.”</w:t>
      </w:r>
      <w:r w:rsidRPr="005305AB">
        <w:rPr>
          <w:rStyle w:val="FootnoteReference"/>
          <w:rFonts w:cs="Arial"/>
          <w:i/>
          <w:iCs/>
          <w:szCs w:val="22"/>
        </w:rPr>
        <w:footnoteReference w:id="5"/>
      </w:r>
      <w:r w:rsidRPr="005305AB">
        <w:rPr>
          <w:rFonts w:cs="Arial"/>
          <w:szCs w:val="22"/>
        </w:rPr>
        <w:t xml:space="preserve"> </w:t>
      </w:r>
    </w:p>
    <w:p w14:paraId="39F16981" w14:textId="77777777" w:rsidR="00641B05" w:rsidRPr="005305AB" w:rsidRDefault="00641B05" w:rsidP="00641B05">
      <w:pPr>
        <w:pStyle w:val="Heading2"/>
        <w:rPr>
          <w:rFonts w:cs="Arial"/>
          <w:szCs w:val="22"/>
        </w:rPr>
      </w:pPr>
      <w:r w:rsidRPr="005305AB">
        <w:rPr>
          <w:rFonts w:cs="Arial"/>
          <w:szCs w:val="22"/>
        </w:rPr>
        <w:lastRenderedPageBreak/>
        <w:t xml:space="preserve">In </w:t>
      </w:r>
      <w:r w:rsidRPr="005305AB">
        <w:rPr>
          <w:rFonts w:cs="Arial"/>
          <w:i/>
          <w:iCs/>
          <w:szCs w:val="22"/>
        </w:rPr>
        <w:t xml:space="preserve">Royal Forest and Bird Protection Society Inc v Southland District Council </w:t>
      </w:r>
      <w:r w:rsidRPr="005305AB">
        <w:rPr>
          <w:rFonts w:cs="Arial"/>
          <w:szCs w:val="22"/>
        </w:rPr>
        <w:t>the High Court held that:</w:t>
      </w:r>
      <w:r w:rsidRPr="005305AB">
        <w:rPr>
          <w:rStyle w:val="FootnoteReference"/>
          <w:rFonts w:cs="Arial"/>
          <w:szCs w:val="22"/>
        </w:rPr>
        <w:footnoteReference w:id="6"/>
      </w:r>
    </w:p>
    <w:p w14:paraId="7D695007" w14:textId="77777777" w:rsidR="00641B05" w:rsidRPr="005305AB" w:rsidRDefault="00641B05" w:rsidP="00641B05">
      <w:pPr>
        <w:pStyle w:val="ListParagraph"/>
        <w:ind w:left="1440" w:right="1088"/>
        <w:jc w:val="both"/>
        <w:rPr>
          <w:rFonts w:ascii="Arial" w:hAnsi="Arial" w:cs="Arial"/>
          <w:i/>
          <w:iCs/>
        </w:rPr>
      </w:pPr>
      <w:r w:rsidRPr="005305AB">
        <w:rPr>
          <w:rFonts w:ascii="Arial" w:hAnsi="Arial" w:cs="Arial"/>
        </w:rPr>
        <w:t xml:space="preserve">it is important that the assessment of whether any amendment was reasonably and fairly raised </w:t>
      </w:r>
      <w:proofErr w:type="gramStart"/>
      <w:r w:rsidRPr="005305AB">
        <w:rPr>
          <w:rFonts w:ascii="Arial" w:hAnsi="Arial" w:cs="Arial"/>
        </w:rPr>
        <w:t>in the course of</w:t>
      </w:r>
      <w:proofErr w:type="gramEnd"/>
      <w:r w:rsidRPr="005305AB">
        <w:rPr>
          <w:rFonts w:ascii="Arial" w:hAnsi="Arial" w:cs="Arial"/>
        </w:rPr>
        <w:t xml:space="preserve"> submissions, should be approached in a realistic workable fashion rather than from the perspective of legal nicety</w:t>
      </w:r>
      <w:r w:rsidRPr="005305AB">
        <w:rPr>
          <w:rFonts w:ascii="Arial" w:hAnsi="Arial" w:cs="Arial"/>
          <w:i/>
          <w:iCs/>
        </w:rPr>
        <w:t>.</w:t>
      </w:r>
    </w:p>
    <w:p w14:paraId="4C3023DD" w14:textId="77777777" w:rsidR="00641B05" w:rsidRPr="005305AB" w:rsidRDefault="00641B05" w:rsidP="00641B05">
      <w:pPr>
        <w:pStyle w:val="ListParagraph"/>
        <w:ind w:left="1440"/>
        <w:jc w:val="both"/>
        <w:rPr>
          <w:rFonts w:ascii="Arial" w:hAnsi="Arial" w:cs="Arial"/>
        </w:rPr>
      </w:pPr>
    </w:p>
    <w:p w14:paraId="6DDCB0EC" w14:textId="66CDFEC1" w:rsidR="00641B05" w:rsidRPr="005305AB" w:rsidRDefault="00641B05" w:rsidP="00641B05">
      <w:pPr>
        <w:pStyle w:val="Heading2"/>
        <w:rPr>
          <w:rFonts w:cs="Arial"/>
          <w:szCs w:val="22"/>
        </w:rPr>
      </w:pPr>
      <w:r w:rsidRPr="005305AB">
        <w:rPr>
          <w:rFonts w:cs="Arial"/>
          <w:szCs w:val="22"/>
        </w:rPr>
        <w:t xml:space="preserve">In </w:t>
      </w:r>
      <w:r w:rsidRPr="005305AB">
        <w:rPr>
          <w:rFonts w:cs="Arial"/>
          <w:i/>
          <w:iCs/>
          <w:szCs w:val="22"/>
        </w:rPr>
        <w:t xml:space="preserve">Shaw v Selwyn District </w:t>
      </w:r>
      <w:r w:rsidR="000C180A" w:rsidRPr="005305AB">
        <w:rPr>
          <w:rFonts w:cs="Arial"/>
          <w:i/>
          <w:iCs/>
          <w:szCs w:val="22"/>
        </w:rPr>
        <w:t>Council,</w:t>
      </w:r>
      <w:r w:rsidRPr="005305AB">
        <w:rPr>
          <w:rFonts w:cs="Arial"/>
          <w:i/>
          <w:iCs/>
          <w:szCs w:val="22"/>
        </w:rPr>
        <w:t xml:space="preserve"> </w:t>
      </w:r>
      <w:r w:rsidRPr="005305AB">
        <w:rPr>
          <w:rFonts w:cs="Arial"/>
          <w:szCs w:val="22"/>
        </w:rPr>
        <w:t xml:space="preserve">the High Court stated that the “workable” approach referred to by Panckhurst J in </w:t>
      </w:r>
      <w:r w:rsidRPr="005305AB">
        <w:rPr>
          <w:rFonts w:cs="Arial"/>
          <w:i/>
          <w:iCs/>
          <w:szCs w:val="22"/>
        </w:rPr>
        <w:t>Royal Forest and Bird v Southland District Council</w:t>
      </w:r>
      <w:r w:rsidRPr="005305AB">
        <w:rPr>
          <w:rFonts w:cs="Arial"/>
          <w:szCs w:val="22"/>
        </w:rPr>
        <w:t xml:space="preserve"> requires:</w:t>
      </w:r>
      <w:r w:rsidRPr="005305AB">
        <w:rPr>
          <w:rStyle w:val="FootnoteReference"/>
          <w:rFonts w:cs="Arial"/>
          <w:szCs w:val="22"/>
        </w:rPr>
        <w:footnoteReference w:id="7"/>
      </w:r>
      <w:r w:rsidRPr="005305AB">
        <w:rPr>
          <w:rFonts w:cs="Arial"/>
          <w:szCs w:val="22"/>
        </w:rPr>
        <w:t xml:space="preserve"> </w:t>
      </w:r>
    </w:p>
    <w:p w14:paraId="467C2D31" w14:textId="77777777" w:rsidR="00641B05" w:rsidRPr="005305AB" w:rsidRDefault="00641B05" w:rsidP="00641B05">
      <w:pPr>
        <w:pStyle w:val="ListParagraph"/>
        <w:ind w:left="1418" w:right="1088"/>
        <w:jc w:val="both"/>
        <w:rPr>
          <w:rFonts w:ascii="Arial" w:hAnsi="Arial" w:cs="Arial"/>
        </w:rPr>
      </w:pPr>
      <w:r w:rsidRPr="005305AB">
        <w:rPr>
          <w:rFonts w:ascii="Arial" w:hAnsi="Arial" w:cs="Arial"/>
        </w:rPr>
        <w:t xml:space="preserve">the Environment Court to </w:t>
      </w:r>
      <w:proofErr w:type="gramStart"/>
      <w:r w:rsidRPr="005305AB">
        <w:rPr>
          <w:rFonts w:ascii="Arial" w:hAnsi="Arial" w:cs="Arial"/>
        </w:rPr>
        <w:t>take into account</w:t>
      </w:r>
      <w:proofErr w:type="gramEnd"/>
      <w:r w:rsidRPr="005305AB">
        <w:rPr>
          <w:rFonts w:ascii="Arial" w:hAnsi="Arial" w:cs="Arial"/>
        </w:rPr>
        <w:t xml:space="preserve"> the whole relief package detailed in each submission when considering whether the relief sought had been reasonable and fairly raised in the submissions.</w:t>
      </w:r>
    </w:p>
    <w:p w14:paraId="24DE9A87" w14:textId="77777777" w:rsidR="00641B05" w:rsidRPr="005305AB" w:rsidRDefault="00641B05" w:rsidP="00641B05">
      <w:pPr>
        <w:pStyle w:val="ListParagraph"/>
        <w:ind w:left="1418" w:right="1088"/>
        <w:jc w:val="both"/>
        <w:rPr>
          <w:rFonts w:ascii="Arial" w:hAnsi="Arial" w:cs="Arial"/>
        </w:rPr>
      </w:pPr>
    </w:p>
    <w:p w14:paraId="0ADAEBD6" w14:textId="77777777" w:rsidR="00641B05" w:rsidRPr="005305AB" w:rsidRDefault="00641B05" w:rsidP="00641B05">
      <w:pPr>
        <w:pStyle w:val="Heading2"/>
        <w:rPr>
          <w:rFonts w:cs="Arial"/>
          <w:szCs w:val="22"/>
        </w:rPr>
      </w:pPr>
      <w:r w:rsidRPr="005305AB">
        <w:rPr>
          <w:rFonts w:cs="Arial"/>
          <w:szCs w:val="22"/>
        </w:rPr>
        <w:t xml:space="preserve">The High Court has also indicated </w:t>
      </w:r>
      <w:bookmarkStart w:id="2" w:name="_Hlk63324867"/>
      <w:r w:rsidRPr="005305AB">
        <w:rPr>
          <w:rFonts w:cs="Arial"/>
          <w:szCs w:val="22"/>
        </w:rPr>
        <w:t>that it is:</w:t>
      </w:r>
      <w:r w:rsidRPr="005305AB">
        <w:rPr>
          <w:rStyle w:val="FootnoteReference"/>
          <w:rFonts w:cs="Arial"/>
          <w:szCs w:val="22"/>
        </w:rPr>
        <w:footnoteReference w:id="8"/>
      </w:r>
      <w:r w:rsidRPr="005305AB">
        <w:rPr>
          <w:rFonts w:cs="Arial"/>
          <w:szCs w:val="22"/>
        </w:rPr>
        <w:t xml:space="preserve">  </w:t>
      </w:r>
    </w:p>
    <w:p w14:paraId="0B962C77" w14:textId="77777777" w:rsidR="00641B05" w:rsidRPr="005305AB" w:rsidRDefault="00641B05" w:rsidP="00641B05">
      <w:pPr>
        <w:pStyle w:val="ListParagraph"/>
        <w:ind w:left="1418" w:right="1089"/>
        <w:jc w:val="both"/>
        <w:rPr>
          <w:rFonts w:ascii="Arial" w:hAnsi="Arial" w:cs="Arial"/>
        </w:rPr>
      </w:pPr>
      <w:r w:rsidRPr="005305AB">
        <w:rPr>
          <w:rFonts w:ascii="Arial" w:hAnsi="Arial" w:cs="Arial"/>
        </w:rPr>
        <w:t xml:space="preserve">… implicit in the legislation that the jurisdiction to change a plan conferred by a reference is not limited to the express words of the reference …  it is sufficient if the changes directed by the Environment Court can fairly be said to be foreseeable consequences of any changes directly proposed in the reference. </w:t>
      </w:r>
    </w:p>
    <w:p w14:paraId="1B347BCB" w14:textId="77777777" w:rsidR="00641B05" w:rsidRPr="005305AB" w:rsidRDefault="00641B05" w:rsidP="00641B05">
      <w:pPr>
        <w:pStyle w:val="ListParagraph"/>
        <w:ind w:left="1418" w:right="1089"/>
        <w:jc w:val="both"/>
        <w:rPr>
          <w:rFonts w:ascii="Arial" w:hAnsi="Arial" w:cs="Arial"/>
        </w:rPr>
      </w:pPr>
    </w:p>
    <w:p w14:paraId="477DD4D1" w14:textId="77777777" w:rsidR="00641B05" w:rsidRPr="005305AB" w:rsidRDefault="00641B05" w:rsidP="00641B05">
      <w:pPr>
        <w:pStyle w:val="ListParagraph"/>
        <w:ind w:left="1418" w:right="1089"/>
        <w:jc w:val="both"/>
        <w:rPr>
          <w:rFonts w:ascii="Arial" w:hAnsi="Arial" w:cs="Arial"/>
        </w:rPr>
      </w:pPr>
      <w:r w:rsidRPr="005305AB">
        <w:rPr>
          <w:rFonts w:ascii="Arial" w:hAnsi="Arial" w:cs="Arial"/>
        </w:rPr>
        <w:t>Ultimately, it is a question of procedural fairness. Procedural fairness extends to the public as well as to the submitter and the territorial authority.</w:t>
      </w:r>
    </w:p>
    <w:bookmarkEnd w:id="2"/>
    <w:p w14:paraId="415A2700" w14:textId="77777777" w:rsidR="00641B05" w:rsidRPr="005305AB" w:rsidRDefault="00641B05" w:rsidP="00641B05">
      <w:pPr>
        <w:pStyle w:val="ListParagraph"/>
        <w:spacing w:line="480" w:lineRule="auto"/>
        <w:ind w:left="851"/>
        <w:jc w:val="both"/>
        <w:rPr>
          <w:rFonts w:ascii="Arial" w:hAnsi="Arial" w:cs="Arial"/>
        </w:rPr>
      </w:pPr>
    </w:p>
    <w:p w14:paraId="3A96F302" w14:textId="77777777" w:rsidR="00641B05" w:rsidRPr="005305AB" w:rsidRDefault="00641B05" w:rsidP="00641B05">
      <w:pPr>
        <w:pStyle w:val="Heading2"/>
        <w:rPr>
          <w:rFonts w:cs="Arial"/>
          <w:szCs w:val="22"/>
        </w:rPr>
      </w:pPr>
      <w:bookmarkStart w:id="3" w:name="_Hlk63323907"/>
      <w:r w:rsidRPr="005305AB">
        <w:rPr>
          <w:rFonts w:cs="Arial"/>
          <w:szCs w:val="22"/>
        </w:rPr>
        <w:t xml:space="preserve">In </w:t>
      </w:r>
      <w:r w:rsidRPr="005305AB">
        <w:rPr>
          <w:rFonts w:cs="Arial"/>
          <w:i/>
          <w:iCs/>
          <w:szCs w:val="22"/>
        </w:rPr>
        <w:t xml:space="preserve">Horticulture New Zealand v Manawatu-Wanganui Regional Council </w:t>
      </w:r>
      <w:r w:rsidRPr="005305AB">
        <w:rPr>
          <w:rFonts w:cs="Arial"/>
          <w:szCs w:val="22"/>
        </w:rPr>
        <w:t>the High Court indicated that:</w:t>
      </w:r>
      <w:r w:rsidRPr="005305AB">
        <w:rPr>
          <w:rStyle w:val="FootnoteReference"/>
          <w:rFonts w:cs="Arial"/>
          <w:szCs w:val="22"/>
        </w:rPr>
        <w:footnoteReference w:id="9"/>
      </w:r>
    </w:p>
    <w:p w14:paraId="4BF55C8E" w14:textId="77777777" w:rsidR="00641B05" w:rsidRPr="005305AB" w:rsidRDefault="00641B05" w:rsidP="00641B05">
      <w:pPr>
        <w:pStyle w:val="ListParagraph"/>
        <w:ind w:left="1440" w:right="1088"/>
        <w:jc w:val="both"/>
        <w:rPr>
          <w:rFonts w:ascii="Arial" w:hAnsi="Arial" w:cs="Arial"/>
        </w:rPr>
      </w:pPr>
      <w:r w:rsidRPr="005305AB">
        <w:rPr>
          <w:rFonts w:ascii="Arial" w:hAnsi="Arial" w:cs="Arial"/>
        </w:rPr>
        <w:t xml:space="preserve">The essential issue is one of natural justice.  Is the matter contended for by the appellant fairly within the scope of that party’s original submission (bearing in mind the broad approach that is required to be taken in accordance with the </w:t>
      </w:r>
      <w:r w:rsidRPr="005305AB">
        <w:rPr>
          <w:rFonts w:ascii="Arial" w:hAnsi="Arial" w:cs="Arial"/>
          <w:i/>
          <w:iCs/>
        </w:rPr>
        <w:t xml:space="preserve">Option 5 </w:t>
      </w:r>
      <w:r w:rsidRPr="005305AB">
        <w:rPr>
          <w:rFonts w:ascii="Arial" w:hAnsi="Arial" w:cs="Arial"/>
        </w:rPr>
        <w:t>decision)?  What prejudice might be caused?</w:t>
      </w:r>
    </w:p>
    <w:bookmarkEnd w:id="3"/>
    <w:p w14:paraId="1EECA2B5" w14:textId="77777777" w:rsidR="00641B05" w:rsidRPr="005305AB" w:rsidRDefault="00641B05" w:rsidP="00641B05">
      <w:pPr>
        <w:pStyle w:val="ListParagraph"/>
        <w:spacing w:line="480" w:lineRule="auto"/>
        <w:ind w:left="851"/>
        <w:jc w:val="both"/>
        <w:rPr>
          <w:rFonts w:ascii="Arial" w:hAnsi="Arial" w:cs="Arial"/>
        </w:rPr>
      </w:pPr>
    </w:p>
    <w:p w14:paraId="772ABB8A" w14:textId="358E7C11" w:rsidR="00641B05" w:rsidRPr="005305AB" w:rsidRDefault="00641B05" w:rsidP="00641B05">
      <w:pPr>
        <w:pStyle w:val="Heading2"/>
        <w:rPr>
          <w:rFonts w:cs="Arial"/>
          <w:szCs w:val="22"/>
        </w:rPr>
      </w:pPr>
      <w:r w:rsidRPr="005305AB">
        <w:rPr>
          <w:rFonts w:cs="Arial"/>
          <w:szCs w:val="22"/>
        </w:rPr>
        <w:t xml:space="preserve">In </w:t>
      </w:r>
      <w:r w:rsidRPr="005305AB">
        <w:rPr>
          <w:rFonts w:cs="Arial"/>
          <w:i/>
          <w:iCs/>
          <w:szCs w:val="22"/>
        </w:rPr>
        <w:t xml:space="preserve">Albany North Landowners v Auckland </w:t>
      </w:r>
      <w:r w:rsidR="000C180A" w:rsidRPr="005305AB">
        <w:rPr>
          <w:rFonts w:cs="Arial"/>
          <w:i/>
          <w:iCs/>
          <w:szCs w:val="22"/>
        </w:rPr>
        <w:t>Council,</w:t>
      </w:r>
      <w:r w:rsidRPr="005305AB">
        <w:rPr>
          <w:rFonts w:cs="Arial"/>
          <w:i/>
          <w:iCs/>
          <w:szCs w:val="22"/>
        </w:rPr>
        <w:t xml:space="preserve"> </w:t>
      </w:r>
      <w:r w:rsidRPr="005305AB">
        <w:rPr>
          <w:rFonts w:cs="Arial"/>
          <w:szCs w:val="22"/>
        </w:rPr>
        <w:t>the High Court held that it was lawful to determine the scope of a submission by reference to: (a) another submission; or (b) the regional policy statement.  In its assessment the High Court identified that:</w:t>
      </w:r>
      <w:r w:rsidRPr="005305AB">
        <w:rPr>
          <w:rStyle w:val="FootnoteReference"/>
          <w:rFonts w:cs="Arial"/>
          <w:szCs w:val="22"/>
        </w:rPr>
        <w:footnoteReference w:id="10"/>
      </w:r>
    </w:p>
    <w:p w14:paraId="3D698968" w14:textId="77777777" w:rsidR="00641B05" w:rsidRPr="005305AB" w:rsidRDefault="00641B05" w:rsidP="00641B05">
      <w:pPr>
        <w:pStyle w:val="ListParagraph"/>
        <w:ind w:left="1440" w:right="1089"/>
        <w:jc w:val="both"/>
        <w:rPr>
          <w:rFonts w:ascii="Arial" w:hAnsi="Arial" w:cs="Arial"/>
        </w:rPr>
      </w:pPr>
      <w:r w:rsidRPr="005305AB">
        <w:rPr>
          <w:rFonts w:ascii="Arial" w:hAnsi="Arial" w:cs="Arial"/>
        </w:rPr>
        <w:t xml:space="preserve">There can be nothing wrong with approaching the resolution of issues raised by submissions in a holistic way – that is the essence of integrated management demanded by ss 30(1)(a) and 31(1)(b) and the requirement to give effect to higher order objectives and </w:t>
      </w:r>
      <w:r w:rsidRPr="005305AB">
        <w:rPr>
          <w:rFonts w:ascii="Arial" w:hAnsi="Arial" w:cs="Arial"/>
        </w:rPr>
        <w:lastRenderedPageBreak/>
        <w:t xml:space="preserve">policies pursuant to ss 67 and 75 of the RMA.  </w:t>
      </w:r>
      <w:bookmarkStart w:id="4" w:name="_Hlk63197510"/>
      <w:r w:rsidRPr="005305AB">
        <w:rPr>
          <w:rFonts w:ascii="Arial" w:hAnsi="Arial" w:cs="Arial"/>
        </w:rPr>
        <w:t xml:space="preserve">It is entirely consistent with this scheme </w:t>
      </w:r>
      <w:bookmarkEnd w:id="4"/>
      <w:r w:rsidRPr="005305AB">
        <w:rPr>
          <w:rFonts w:ascii="Arial" w:hAnsi="Arial" w:cs="Arial"/>
        </w:rPr>
        <w:t>to draw on specific submissions to resolve issues raised by generic submissions on the higher order objectives and policies and/or the other way around in terms of framing the solutions (in the form of methods) to accord with the resolution of issues raised by generic submissions.</w:t>
      </w:r>
    </w:p>
    <w:p w14:paraId="14C92065" w14:textId="77777777" w:rsidR="00641B05" w:rsidRPr="005305AB" w:rsidRDefault="00641B05" w:rsidP="00641B05">
      <w:pPr>
        <w:pStyle w:val="ListParagraph"/>
        <w:ind w:left="1440" w:right="1089"/>
        <w:jc w:val="both"/>
        <w:rPr>
          <w:rFonts w:ascii="Arial" w:hAnsi="Arial" w:cs="Arial"/>
        </w:rPr>
      </w:pPr>
      <w:r w:rsidRPr="005305AB">
        <w:rPr>
          <w:rFonts w:ascii="Arial" w:hAnsi="Arial" w:cs="Arial"/>
        </w:rPr>
        <w:t xml:space="preserve"> </w:t>
      </w:r>
    </w:p>
    <w:p w14:paraId="02EC6C5B" w14:textId="77777777" w:rsidR="00641B05" w:rsidRPr="005305AB" w:rsidRDefault="00641B05" w:rsidP="00641B05">
      <w:pPr>
        <w:pStyle w:val="Heading2"/>
        <w:rPr>
          <w:rFonts w:cs="Arial"/>
          <w:szCs w:val="22"/>
        </w:rPr>
      </w:pPr>
      <w:r w:rsidRPr="005305AB">
        <w:rPr>
          <w:rFonts w:cs="Arial"/>
          <w:szCs w:val="22"/>
        </w:rPr>
        <w:t>The High Court also stated that:</w:t>
      </w:r>
      <w:r w:rsidRPr="005305AB">
        <w:rPr>
          <w:rStyle w:val="FootnoteReference"/>
          <w:rFonts w:cs="Arial"/>
          <w:szCs w:val="22"/>
        </w:rPr>
        <w:footnoteReference w:id="11"/>
      </w:r>
    </w:p>
    <w:p w14:paraId="4305923C" w14:textId="771BB2B6" w:rsidR="00641B05" w:rsidRPr="005305AB" w:rsidRDefault="00641B05" w:rsidP="00641B05">
      <w:pPr>
        <w:pStyle w:val="ListParagraph"/>
        <w:ind w:left="1418" w:right="1088"/>
        <w:jc w:val="both"/>
        <w:rPr>
          <w:rFonts w:ascii="Arial" w:hAnsi="Arial" w:cs="Arial"/>
        </w:rPr>
      </w:pPr>
      <w:r w:rsidRPr="005305AB">
        <w:rPr>
          <w:rFonts w:ascii="Arial" w:hAnsi="Arial" w:cs="Arial"/>
        </w:rPr>
        <w:t xml:space="preserve">… the theoretical concerns … about over-extending the recommendations by adopting a top-down approach are offset by the </w:t>
      </w:r>
      <w:r w:rsidR="000C180A" w:rsidRPr="005305AB">
        <w:rPr>
          <w:rFonts w:ascii="Arial" w:hAnsi="Arial" w:cs="Arial"/>
        </w:rPr>
        <w:t>self-imposed</w:t>
      </w:r>
      <w:r w:rsidRPr="005305AB">
        <w:rPr>
          <w:rFonts w:ascii="Arial" w:hAnsi="Arial" w:cs="Arial"/>
        </w:rPr>
        <w:t xml:space="preserve"> requirement that </w:t>
      </w:r>
      <w:r w:rsidRPr="005305AB">
        <w:rPr>
          <w:rFonts w:ascii="Arial" w:hAnsi="Arial" w:cs="Arial"/>
          <w:b/>
          <w:bCs/>
        </w:rPr>
        <w:t>the planning outcome must be a reasonably foreseen and otherwise a logical consequence of a submission.</w:t>
      </w:r>
      <w:r w:rsidRPr="005305AB">
        <w:rPr>
          <w:rFonts w:ascii="Arial" w:hAnsi="Arial" w:cs="Arial"/>
        </w:rPr>
        <w:t xml:space="preserve">  This provides a clear bulwark against cross pollination of submissions (vertically or horizontally) in way that is unfair to potential submitters … Framing the scope of general submissions to accord with the RPS and the cross pollination of submissions for the purpose of making recommendations is not per se unlawful. </w:t>
      </w:r>
    </w:p>
    <w:p w14:paraId="47C7E3F6" w14:textId="77777777" w:rsidR="00641B05" w:rsidRPr="005305AB" w:rsidRDefault="00641B05" w:rsidP="00641B05">
      <w:pPr>
        <w:pStyle w:val="ListParagraph"/>
        <w:ind w:left="1440" w:right="1088"/>
        <w:jc w:val="both"/>
        <w:rPr>
          <w:rFonts w:ascii="Arial" w:hAnsi="Arial" w:cs="Arial"/>
        </w:rPr>
      </w:pPr>
    </w:p>
    <w:p w14:paraId="362A5C76" w14:textId="71DD43FC" w:rsidR="00641B05" w:rsidRPr="00E15FEA" w:rsidRDefault="00641B05" w:rsidP="00E15FEA">
      <w:pPr>
        <w:pStyle w:val="ListParagraph"/>
        <w:ind w:left="1440" w:right="1088"/>
        <w:jc w:val="both"/>
        <w:rPr>
          <w:rFonts w:ascii="Arial" w:hAnsi="Arial" w:cs="Arial"/>
          <w:b/>
          <w:bCs/>
        </w:rPr>
      </w:pPr>
      <w:r w:rsidRPr="005305AB">
        <w:rPr>
          <w:rFonts w:ascii="Arial" w:hAnsi="Arial" w:cs="Arial"/>
          <w:b/>
          <w:bCs/>
        </w:rPr>
        <w:t>[emphasis added]</w:t>
      </w:r>
    </w:p>
    <w:p w14:paraId="41810328" w14:textId="77777777" w:rsidR="00E15FEA" w:rsidRDefault="00E15FEA" w:rsidP="00E15FEA">
      <w:pPr>
        <w:pStyle w:val="Heading2"/>
        <w:numPr>
          <w:ilvl w:val="0"/>
          <w:numId w:val="0"/>
        </w:numPr>
        <w:rPr>
          <w:rFonts w:cs="Arial"/>
          <w:szCs w:val="22"/>
        </w:rPr>
      </w:pPr>
    </w:p>
    <w:p w14:paraId="518F5785" w14:textId="50860BD6" w:rsidR="009C5898" w:rsidRPr="005305AB" w:rsidRDefault="00440588" w:rsidP="000C4376">
      <w:pPr>
        <w:pStyle w:val="Heading2"/>
        <w:rPr>
          <w:rFonts w:cs="Arial"/>
          <w:szCs w:val="22"/>
        </w:rPr>
      </w:pPr>
      <w:r w:rsidRPr="005305AB">
        <w:rPr>
          <w:rFonts w:cs="Arial"/>
          <w:szCs w:val="22"/>
        </w:rPr>
        <w:t>Scope for the above is</w:t>
      </w:r>
      <w:r w:rsidR="007C529C" w:rsidRPr="005305AB">
        <w:rPr>
          <w:rFonts w:cs="Arial"/>
          <w:szCs w:val="22"/>
        </w:rPr>
        <w:t xml:space="preserve"> set out in the table in Appendix </w:t>
      </w:r>
      <w:r w:rsidR="000C180A" w:rsidRPr="005305AB">
        <w:rPr>
          <w:rFonts w:cs="Arial"/>
          <w:szCs w:val="22"/>
        </w:rPr>
        <w:t>1.</w:t>
      </w:r>
    </w:p>
    <w:p w14:paraId="39A6A612" w14:textId="47A5A6A3" w:rsidR="009C5898" w:rsidRPr="005305AB" w:rsidRDefault="007C529C" w:rsidP="000C4376">
      <w:pPr>
        <w:pStyle w:val="Heading2"/>
        <w:rPr>
          <w:rFonts w:cs="Arial"/>
          <w:szCs w:val="22"/>
        </w:rPr>
      </w:pPr>
      <w:r w:rsidRPr="005305AB">
        <w:rPr>
          <w:rFonts w:cs="Arial"/>
          <w:szCs w:val="22"/>
        </w:rPr>
        <w:t xml:space="preserve">In my submission, there is scope </w:t>
      </w:r>
      <w:r w:rsidR="006B400C" w:rsidRPr="005305AB">
        <w:rPr>
          <w:rFonts w:cs="Arial"/>
          <w:szCs w:val="22"/>
        </w:rPr>
        <w:t>for</w:t>
      </w:r>
      <w:r w:rsidRPr="005305AB">
        <w:rPr>
          <w:rFonts w:cs="Arial"/>
          <w:szCs w:val="22"/>
        </w:rPr>
        <w:t xml:space="preserve"> you to consider the relief the Director-General has put fo</w:t>
      </w:r>
      <w:r w:rsidR="005305AB">
        <w:rPr>
          <w:rFonts w:cs="Arial"/>
          <w:szCs w:val="22"/>
        </w:rPr>
        <w:t>r</w:t>
      </w:r>
      <w:r w:rsidRPr="005305AB">
        <w:rPr>
          <w:rFonts w:cs="Arial"/>
          <w:szCs w:val="22"/>
        </w:rPr>
        <w:t xml:space="preserve">ward in relation to </w:t>
      </w:r>
      <w:r w:rsidR="005305AB">
        <w:rPr>
          <w:rFonts w:cs="Arial"/>
          <w:szCs w:val="22"/>
        </w:rPr>
        <w:t xml:space="preserve">adopting a consistent framework for </w:t>
      </w:r>
      <w:r w:rsidRPr="005305AB">
        <w:rPr>
          <w:rFonts w:cs="Arial"/>
          <w:szCs w:val="22"/>
        </w:rPr>
        <w:t xml:space="preserve">clearance of </w:t>
      </w:r>
      <w:r w:rsidR="006B400C" w:rsidRPr="005305AB">
        <w:rPr>
          <w:rFonts w:cs="Arial"/>
          <w:szCs w:val="22"/>
        </w:rPr>
        <w:t>significant</w:t>
      </w:r>
      <w:r w:rsidRPr="005305AB">
        <w:rPr>
          <w:rFonts w:cs="Arial"/>
          <w:szCs w:val="22"/>
        </w:rPr>
        <w:t xml:space="preserve"> </w:t>
      </w:r>
      <w:r w:rsidR="006B400C" w:rsidRPr="005305AB">
        <w:rPr>
          <w:rFonts w:cs="Arial"/>
          <w:szCs w:val="22"/>
        </w:rPr>
        <w:t>indigenous</w:t>
      </w:r>
      <w:r w:rsidRPr="005305AB">
        <w:rPr>
          <w:rFonts w:cs="Arial"/>
          <w:szCs w:val="22"/>
        </w:rPr>
        <w:t xml:space="preserve"> </w:t>
      </w:r>
      <w:r w:rsidR="006B400C" w:rsidRPr="005305AB">
        <w:rPr>
          <w:rFonts w:cs="Arial"/>
          <w:szCs w:val="22"/>
        </w:rPr>
        <w:t>vegetation</w:t>
      </w:r>
      <w:r w:rsidR="005305AB">
        <w:rPr>
          <w:rFonts w:cs="Arial"/>
          <w:szCs w:val="22"/>
        </w:rPr>
        <w:t>.</w:t>
      </w:r>
    </w:p>
    <w:p w14:paraId="3552B061" w14:textId="50D28096" w:rsidR="009C5898" w:rsidRPr="005305AB" w:rsidRDefault="009C5898" w:rsidP="009C5898">
      <w:pPr>
        <w:pStyle w:val="Heading2"/>
        <w:numPr>
          <w:ilvl w:val="0"/>
          <w:numId w:val="0"/>
        </w:numPr>
        <w:rPr>
          <w:rFonts w:cs="Arial"/>
          <w:b/>
          <w:bCs/>
          <w:szCs w:val="22"/>
        </w:rPr>
      </w:pPr>
      <w:r w:rsidRPr="005305AB">
        <w:rPr>
          <w:rFonts w:cs="Arial"/>
          <w:b/>
          <w:bCs/>
          <w:szCs w:val="22"/>
        </w:rPr>
        <w:t>Joint Witness Statement (Planners from Genesis and Meridian Energy Ltd)</w:t>
      </w:r>
    </w:p>
    <w:p w14:paraId="26C4FC91" w14:textId="157BDE02" w:rsidR="005305AB" w:rsidRPr="005305AB" w:rsidRDefault="005305AB" w:rsidP="005305AB">
      <w:pPr>
        <w:pStyle w:val="Heading2"/>
        <w:rPr>
          <w:rFonts w:cs="Arial"/>
          <w:szCs w:val="22"/>
        </w:rPr>
      </w:pPr>
      <w:r>
        <w:rPr>
          <w:rFonts w:cs="Arial"/>
          <w:szCs w:val="22"/>
        </w:rPr>
        <w:t xml:space="preserve">Counsel </w:t>
      </w:r>
      <w:r>
        <w:t xml:space="preserve">received what has been labelled as a Joint Witness Statement from the planning </w:t>
      </w:r>
      <w:r w:rsidR="009F598B">
        <w:t>witness</w:t>
      </w:r>
      <w:r w:rsidR="00683F9C">
        <w:t>es</w:t>
      </w:r>
      <w:r>
        <w:t xml:space="preserve"> </w:t>
      </w:r>
      <w:r w:rsidR="009F598B">
        <w:t>for</w:t>
      </w:r>
      <w:r>
        <w:t xml:space="preserve"> Meridian Energy Limited and Genesis Energy Ltd, on </w:t>
      </w:r>
      <w:r w:rsidRPr="008E6E6D">
        <w:t>Monday 1 March</w:t>
      </w:r>
      <w:r>
        <w:t xml:space="preserve">. </w:t>
      </w:r>
    </w:p>
    <w:p w14:paraId="16AB4ADC" w14:textId="3FEA2C32" w:rsidR="005305AB" w:rsidRPr="005305AB" w:rsidRDefault="005305AB" w:rsidP="005305AB">
      <w:pPr>
        <w:pStyle w:val="Heading2"/>
        <w:rPr>
          <w:rFonts w:cs="Arial"/>
          <w:szCs w:val="22"/>
        </w:rPr>
      </w:pPr>
      <w:r>
        <w:t xml:space="preserve">Counsel assumed if conferencing involved any of the planners, there would be correspondence circulated to the parties. There was no correspondence indicating some </w:t>
      </w:r>
      <w:r w:rsidR="009F598B">
        <w:t>or</w:t>
      </w:r>
      <w:r>
        <w:t xml:space="preserve"> </w:t>
      </w:r>
      <w:r w:rsidR="00C450DC">
        <w:t xml:space="preserve">all </w:t>
      </w:r>
      <w:r>
        <w:t xml:space="preserve">the planners intended to conference. </w:t>
      </w:r>
    </w:p>
    <w:p w14:paraId="6841C47D" w14:textId="5A09D9C6" w:rsidR="005305AB" w:rsidRPr="005305AB" w:rsidRDefault="005305AB" w:rsidP="005305AB">
      <w:pPr>
        <w:pStyle w:val="Heading2"/>
        <w:rPr>
          <w:rFonts w:cs="Arial"/>
          <w:szCs w:val="22"/>
        </w:rPr>
      </w:pPr>
      <w:r>
        <w:t xml:space="preserve">It was a surprise to receive </w:t>
      </w:r>
      <w:r w:rsidR="00B11E97">
        <w:t xml:space="preserve">a </w:t>
      </w:r>
      <w:r>
        <w:t xml:space="preserve">JWS </w:t>
      </w:r>
      <w:r w:rsidR="00B11E97">
        <w:t xml:space="preserve">where only </w:t>
      </w:r>
      <w:r>
        <w:t xml:space="preserve">two planners </w:t>
      </w:r>
      <w:r w:rsidR="00B11E97">
        <w:t xml:space="preserve">had </w:t>
      </w:r>
      <w:r>
        <w:t xml:space="preserve">participated. There was no invitation to </w:t>
      </w:r>
      <w:r w:rsidR="009F598B">
        <w:t xml:space="preserve">the Director-General’s </w:t>
      </w:r>
      <w:r>
        <w:t xml:space="preserve">expert </w:t>
      </w:r>
      <w:r w:rsidR="009F598B">
        <w:t>planner,</w:t>
      </w:r>
      <w:r>
        <w:t xml:space="preserve"> and I note there are other planners who have submitted expert evidence in this process who also </w:t>
      </w:r>
      <w:proofErr w:type="gramStart"/>
      <w:r>
        <w:t>weren’t</w:t>
      </w:r>
      <w:proofErr w:type="gramEnd"/>
      <w:r>
        <w:t xml:space="preserve"> involved (Andrew Willis, Julia Crossman, Ainsley McLeod and Angela Johnston – I am unaware of whether these parties were notified of the conferencing and chose not to participate).</w:t>
      </w:r>
    </w:p>
    <w:p w14:paraId="4F0C5F7E" w14:textId="77777777" w:rsidR="005305AB" w:rsidRPr="005305AB" w:rsidRDefault="005305AB" w:rsidP="005305AB">
      <w:pPr>
        <w:pStyle w:val="Heading2"/>
        <w:rPr>
          <w:rFonts w:cs="Arial"/>
          <w:szCs w:val="22"/>
        </w:rPr>
      </w:pPr>
      <w:r>
        <w:lastRenderedPageBreak/>
        <w:t xml:space="preserve">Expert conferencing is a process in which experts – </w:t>
      </w:r>
      <w:proofErr w:type="gramStart"/>
      <w:r>
        <w:t>all of</w:t>
      </w:r>
      <w:proofErr w:type="gramEnd"/>
      <w:r>
        <w:t xml:space="preserve"> the relevant experts – confer and attempt to reach agreement on issues. The purpose is to attempt to narrow points of difference, assist the Commissioners and potentially save hearing time and costs. I note the Commissioner’s minute (paragraphs [17]-[20]) requested all participants calling expert witnesses liaise amongst themselves, along with the Hearings Administrator, </w:t>
      </w:r>
      <w:proofErr w:type="gramStart"/>
      <w:r>
        <w:t>in order to</w:t>
      </w:r>
      <w:proofErr w:type="gramEnd"/>
      <w:r>
        <w:t xml:space="preserve"> facilitate their respective experts conferencing on matters relevant to their specific areas of expertise. </w:t>
      </w:r>
    </w:p>
    <w:p w14:paraId="1E55FB3F" w14:textId="77777777" w:rsidR="00670FDE" w:rsidRPr="00670FDE" w:rsidRDefault="005305AB" w:rsidP="005305AB">
      <w:pPr>
        <w:pStyle w:val="Heading2"/>
        <w:rPr>
          <w:rFonts w:cs="Arial"/>
          <w:szCs w:val="22"/>
        </w:rPr>
      </w:pPr>
      <w:r>
        <w:t>Given not all planners participated in the conference, in my view what has been submitted by two of the experts as a Joint Witness Statement</w:t>
      </w:r>
      <w:r w:rsidR="00670FDE">
        <w:t>:</w:t>
      </w:r>
    </w:p>
    <w:p w14:paraId="7D9952E3" w14:textId="77777777" w:rsidR="00DB0137" w:rsidRPr="00DB0137" w:rsidRDefault="005305AB" w:rsidP="00DB0137">
      <w:pPr>
        <w:pStyle w:val="Heading3"/>
        <w:rPr>
          <w:rFonts w:cs="Arial"/>
          <w:szCs w:val="22"/>
        </w:rPr>
      </w:pPr>
      <w:r>
        <w:t>is not what is intended as such by the Environment Court practice Not</w:t>
      </w:r>
      <w:r w:rsidR="00DB0137">
        <w:t xml:space="preserve">e </w:t>
      </w:r>
      <w:r>
        <w:t xml:space="preserve">or the Commissioners’ in their </w:t>
      </w:r>
      <w:r w:rsidR="00DB0137">
        <w:t>M</w:t>
      </w:r>
      <w:r>
        <w:t>inute</w:t>
      </w:r>
      <w:r w:rsidR="00DB0137">
        <w:t>:</w:t>
      </w:r>
      <w:r>
        <w:t xml:space="preserve"> and </w:t>
      </w:r>
    </w:p>
    <w:p w14:paraId="3C6F1BE8" w14:textId="07C34C38" w:rsidR="009C5898" w:rsidRPr="00DB0137" w:rsidRDefault="005305AB" w:rsidP="00DB0137">
      <w:pPr>
        <w:pStyle w:val="Heading3"/>
        <w:rPr>
          <w:rFonts w:cs="Arial"/>
          <w:szCs w:val="22"/>
        </w:rPr>
      </w:pPr>
      <w:r>
        <w:t>should be disregarded</w:t>
      </w:r>
      <w:r w:rsidR="00DB0137">
        <w:t xml:space="preserve"> by the Panel</w:t>
      </w:r>
      <w:r>
        <w:t>.</w:t>
      </w:r>
    </w:p>
    <w:p w14:paraId="4ACEAA22" w14:textId="77777777" w:rsidR="005305AB" w:rsidRPr="005305AB" w:rsidRDefault="005305AB" w:rsidP="005305AB">
      <w:pPr>
        <w:pStyle w:val="Heading2"/>
        <w:numPr>
          <w:ilvl w:val="0"/>
          <w:numId w:val="0"/>
        </w:numPr>
        <w:rPr>
          <w:rFonts w:cs="Arial"/>
          <w:szCs w:val="22"/>
        </w:rPr>
      </w:pPr>
    </w:p>
    <w:p w14:paraId="524227D7" w14:textId="30B54C79" w:rsidR="000C4376" w:rsidRPr="005305AB" w:rsidRDefault="00F3049B" w:rsidP="000C4376">
      <w:pPr>
        <w:pStyle w:val="Paragraph"/>
        <w:rPr>
          <w:rFonts w:cs="Arial"/>
          <w:szCs w:val="22"/>
        </w:rPr>
      </w:pPr>
      <w:r>
        <w:rPr>
          <w:noProof/>
        </w:rPr>
        <w:drawing>
          <wp:inline distT="0" distB="0" distL="0" distR="0" wp14:anchorId="1BE7F4AF" wp14:editId="2CA2A535">
            <wp:extent cx="5268060" cy="94310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8060" cy="943107"/>
                    </a:xfrm>
                    <a:prstGeom prst="rect">
                      <a:avLst/>
                    </a:prstGeom>
                  </pic:spPr>
                </pic:pic>
              </a:graphicData>
            </a:graphic>
          </wp:inline>
        </w:drawing>
      </w:r>
    </w:p>
    <w:p w14:paraId="53D5A873" w14:textId="3B455BC4" w:rsidR="00C03425" w:rsidRDefault="00C03425" w:rsidP="000C4376">
      <w:pPr>
        <w:rPr>
          <w:rFonts w:cs="Arial"/>
          <w:szCs w:val="22"/>
        </w:rPr>
      </w:pPr>
      <w:r w:rsidRPr="005305AB">
        <w:rPr>
          <w:rFonts w:cs="Arial"/>
          <w:szCs w:val="22"/>
        </w:rPr>
        <w:t>Clare Lenihan</w:t>
      </w:r>
    </w:p>
    <w:p w14:paraId="6EDE50CE" w14:textId="77777777" w:rsidR="00CF3191" w:rsidRDefault="00CF3191" w:rsidP="000C4376">
      <w:pPr>
        <w:rPr>
          <w:rFonts w:cs="Arial"/>
          <w:szCs w:val="22"/>
        </w:rPr>
      </w:pPr>
    </w:p>
    <w:p w14:paraId="1F927309" w14:textId="5A7BA0D3" w:rsidR="001832B8" w:rsidRPr="008E6E6D" w:rsidRDefault="000C4376" w:rsidP="000C4376">
      <w:pPr>
        <w:rPr>
          <w:rFonts w:cs="Arial"/>
          <w:b/>
          <w:bCs/>
          <w:szCs w:val="22"/>
        </w:rPr>
      </w:pPr>
      <w:r w:rsidRPr="005305AB">
        <w:rPr>
          <w:rFonts w:cs="Arial"/>
          <w:szCs w:val="22"/>
        </w:rPr>
        <w:t>3 March 2021</w:t>
      </w:r>
      <w:r w:rsidRPr="005305AB">
        <w:rPr>
          <w:rFonts w:cs="Arial"/>
          <w:szCs w:val="22"/>
        </w:rPr>
        <w:br w:type="page"/>
      </w:r>
      <w:r w:rsidR="002C229B" w:rsidRPr="008E6E6D">
        <w:rPr>
          <w:rFonts w:cs="Arial"/>
          <w:b/>
          <w:bCs/>
          <w:szCs w:val="22"/>
        </w:rPr>
        <w:lastRenderedPageBreak/>
        <w:t xml:space="preserve">Appendix One – </w:t>
      </w:r>
      <w:r w:rsidR="008E6E6D">
        <w:rPr>
          <w:rFonts w:cs="Arial"/>
          <w:b/>
          <w:bCs/>
          <w:szCs w:val="22"/>
        </w:rPr>
        <w:t>S</w:t>
      </w:r>
      <w:r w:rsidR="002C229B" w:rsidRPr="008E6E6D">
        <w:rPr>
          <w:rFonts w:cs="Arial"/>
          <w:b/>
          <w:bCs/>
          <w:szCs w:val="22"/>
        </w:rPr>
        <w:t xml:space="preserve">cope </w:t>
      </w:r>
      <w:r w:rsidR="006B400C" w:rsidRPr="008E6E6D">
        <w:rPr>
          <w:rFonts w:cs="Arial"/>
          <w:b/>
          <w:bCs/>
          <w:szCs w:val="22"/>
        </w:rPr>
        <w:t>for</w:t>
      </w:r>
      <w:r w:rsidR="002C229B" w:rsidRPr="008E6E6D">
        <w:rPr>
          <w:rFonts w:cs="Arial"/>
          <w:b/>
          <w:bCs/>
          <w:szCs w:val="22"/>
        </w:rPr>
        <w:t xml:space="preserve"> Director </w:t>
      </w:r>
      <w:r w:rsidR="006B400C" w:rsidRPr="008E6E6D">
        <w:rPr>
          <w:rFonts w:cs="Arial"/>
          <w:b/>
          <w:bCs/>
          <w:szCs w:val="22"/>
        </w:rPr>
        <w:t>General</w:t>
      </w:r>
      <w:r w:rsidR="002C229B" w:rsidRPr="008E6E6D">
        <w:rPr>
          <w:rFonts w:cs="Arial"/>
          <w:b/>
          <w:bCs/>
          <w:szCs w:val="22"/>
        </w:rPr>
        <w:t xml:space="preserve"> relief </w:t>
      </w:r>
    </w:p>
    <w:p w14:paraId="14322680" w14:textId="62FBB5E5" w:rsidR="00484200" w:rsidRPr="005305AB" w:rsidRDefault="00484200" w:rsidP="000C4376">
      <w:pPr>
        <w:rPr>
          <w:rFonts w:cs="Arial"/>
          <w:szCs w:val="22"/>
        </w:rPr>
      </w:pPr>
    </w:p>
    <w:tbl>
      <w:tblPr>
        <w:tblW w:w="0" w:type="auto"/>
        <w:tblCellMar>
          <w:left w:w="0" w:type="dxa"/>
          <w:right w:w="0" w:type="dxa"/>
        </w:tblCellMar>
        <w:tblLook w:val="04A0" w:firstRow="1" w:lastRow="0" w:firstColumn="1" w:lastColumn="0" w:noHBand="0" w:noVBand="1"/>
      </w:tblPr>
      <w:tblGrid>
        <w:gridCol w:w="2776"/>
        <w:gridCol w:w="3371"/>
        <w:gridCol w:w="2859"/>
      </w:tblGrid>
      <w:tr w:rsidR="00484200" w:rsidRPr="005305AB" w14:paraId="571C30D4" w14:textId="77777777" w:rsidTr="00484200">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1240" w14:textId="77777777" w:rsidR="00484200" w:rsidRPr="005305AB" w:rsidRDefault="00484200">
            <w:pPr>
              <w:rPr>
                <w:rFonts w:cs="Arial"/>
                <w:szCs w:val="22"/>
              </w:rPr>
            </w:pPr>
            <w:r w:rsidRPr="005305AB">
              <w:rPr>
                <w:rFonts w:cs="Arial"/>
                <w:szCs w:val="22"/>
              </w:rPr>
              <w:t>Provisions</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9E0655" w14:textId="77777777" w:rsidR="00484200" w:rsidRPr="005305AB" w:rsidRDefault="00484200">
            <w:pPr>
              <w:rPr>
                <w:rFonts w:cs="Arial"/>
                <w:szCs w:val="22"/>
              </w:rPr>
            </w:pPr>
            <w:r w:rsidRPr="005305AB">
              <w:rPr>
                <w:rFonts w:cs="Arial"/>
                <w:szCs w:val="22"/>
              </w:rPr>
              <w:t>Submitter/submission</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65B6A2" w14:textId="77777777" w:rsidR="00484200" w:rsidRPr="005305AB" w:rsidRDefault="00484200">
            <w:pPr>
              <w:rPr>
                <w:rFonts w:cs="Arial"/>
                <w:szCs w:val="22"/>
              </w:rPr>
            </w:pPr>
            <w:r w:rsidRPr="005305AB">
              <w:rPr>
                <w:rFonts w:cs="Arial"/>
                <w:szCs w:val="22"/>
              </w:rPr>
              <w:t>DOC position</w:t>
            </w:r>
          </w:p>
        </w:tc>
      </w:tr>
      <w:tr w:rsidR="00484200" w:rsidRPr="005305AB" w14:paraId="180110F1" w14:textId="77777777" w:rsidTr="00484200">
        <w:tc>
          <w:tcPr>
            <w:tcW w:w="4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A15E5" w14:textId="77777777" w:rsidR="00484200" w:rsidRPr="005305AB" w:rsidRDefault="00484200">
            <w:pPr>
              <w:rPr>
                <w:rFonts w:cs="Arial"/>
                <w:szCs w:val="22"/>
              </w:rPr>
            </w:pPr>
            <w:r w:rsidRPr="005305AB">
              <w:rPr>
                <w:rFonts w:cs="Arial"/>
                <w:szCs w:val="22"/>
              </w:rPr>
              <w:t>General Comments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F76ED13" w14:textId="77777777" w:rsidR="00484200" w:rsidRPr="005305AB" w:rsidRDefault="00484200">
            <w:pPr>
              <w:rPr>
                <w:rFonts w:cs="Arial"/>
                <w:szCs w:val="22"/>
              </w:rPr>
            </w:pPr>
            <w:r w:rsidRPr="005305AB">
              <w:rPr>
                <w:rFonts w:cs="Arial"/>
                <w:szCs w:val="22"/>
              </w:rPr>
              <w:t>#8 Environment Canterbury – general comment about the policy approach that will be taken to listing further “sites of natural significance” in the District Plan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071C78C" w14:textId="77777777" w:rsidR="00484200" w:rsidRPr="005305AB" w:rsidRDefault="00484200">
            <w:pPr>
              <w:rPr>
                <w:rFonts w:cs="Arial"/>
                <w:szCs w:val="22"/>
              </w:rPr>
            </w:pPr>
            <w:r w:rsidRPr="005305AB">
              <w:rPr>
                <w:rFonts w:cs="Arial"/>
                <w:szCs w:val="22"/>
              </w:rPr>
              <w:t xml:space="preserve">DOC further submitted in support and stated </w:t>
            </w:r>
            <w:r w:rsidRPr="005305AB">
              <w:rPr>
                <w:rFonts w:cs="Arial"/>
                <w:i/>
                <w:iCs/>
                <w:szCs w:val="22"/>
              </w:rPr>
              <w:t>“…it is not clear how these sites, once identified will be treated by the plan framework if they are not an identified SONS in the planning maps</w:t>
            </w:r>
            <w:r w:rsidRPr="005305AB">
              <w:rPr>
                <w:rFonts w:cs="Arial"/>
                <w:szCs w:val="22"/>
              </w:rPr>
              <w:t>”.</w:t>
            </w:r>
          </w:p>
        </w:tc>
      </w:tr>
      <w:tr w:rsidR="00484200" w:rsidRPr="005305AB" w14:paraId="2B1A7925" w14:textId="77777777" w:rsidTr="00484200">
        <w:tc>
          <w:tcPr>
            <w:tcW w:w="0" w:type="auto"/>
            <w:vMerge/>
            <w:tcBorders>
              <w:top w:val="nil"/>
              <w:left w:val="single" w:sz="8" w:space="0" w:color="auto"/>
              <w:bottom w:val="single" w:sz="8" w:space="0" w:color="auto"/>
              <w:right w:val="single" w:sz="8" w:space="0" w:color="auto"/>
            </w:tcBorders>
            <w:vAlign w:val="center"/>
            <w:hideMark/>
          </w:tcPr>
          <w:p w14:paraId="7BF3A12C" w14:textId="77777777" w:rsidR="00484200" w:rsidRPr="005305AB" w:rsidRDefault="00484200">
            <w:pPr>
              <w:rPr>
                <w:rFonts w:eastAsiaTheme="minorHAnsi" w:cs="Arial"/>
                <w:szCs w:val="22"/>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7B1AF5" w14:textId="77777777" w:rsidR="00484200" w:rsidRPr="005305AB" w:rsidRDefault="00484200">
            <w:pPr>
              <w:rPr>
                <w:rFonts w:cs="Arial"/>
                <w:szCs w:val="22"/>
              </w:rPr>
            </w:pPr>
            <w:r w:rsidRPr="005305AB">
              <w:rPr>
                <w:rFonts w:cs="Arial"/>
                <w:szCs w:val="22"/>
              </w:rPr>
              <w:t>#9 Environmental Defence Society – “Failure to identify all SONS” – Relief = mapping of all SONS.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9C5FA27" w14:textId="77777777" w:rsidR="00484200" w:rsidRPr="005305AB" w:rsidRDefault="00484200">
            <w:pPr>
              <w:rPr>
                <w:rFonts w:cs="Arial"/>
                <w:i/>
                <w:iCs/>
                <w:szCs w:val="22"/>
              </w:rPr>
            </w:pPr>
            <w:r w:rsidRPr="005305AB">
              <w:rPr>
                <w:rFonts w:cs="Arial"/>
                <w:szCs w:val="22"/>
              </w:rPr>
              <w:t xml:space="preserve">DOC supported this in further submission </w:t>
            </w:r>
            <w:proofErr w:type="gramStart"/>
            <w:r w:rsidRPr="005305AB">
              <w:rPr>
                <w:rFonts w:cs="Arial"/>
                <w:szCs w:val="22"/>
              </w:rPr>
              <w:t>stating</w:t>
            </w:r>
            <w:proofErr w:type="gramEnd"/>
            <w:r w:rsidRPr="005305AB">
              <w:rPr>
                <w:rFonts w:cs="Arial"/>
                <w:szCs w:val="22"/>
              </w:rPr>
              <w:t xml:space="preserve"> “</w:t>
            </w:r>
            <w:r w:rsidRPr="005305AB">
              <w:rPr>
                <w:rFonts w:cs="Arial"/>
                <w:i/>
                <w:iCs/>
                <w:szCs w:val="22"/>
              </w:rPr>
              <w:t>it is important that those sites which meet criteria, but aren’t mapped are also protected”.</w:t>
            </w:r>
          </w:p>
        </w:tc>
      </w:tr>
      <w:tr w:rsidR="00484200" w:rsidRPr="005305AB" w14:paraId="6C3CE5D3" w14:textId="77777777" w:rsidTr="00484200">
        <w:tc>
          <w:tcPr>
            <w:tcW w:w="0" w:type="auto"/>
            <w:vMerge/>
            <w:tcBorders>
              <w:top w:val="nil"/>
              <w:left w:val="single" w:sz="8" w:space="0" w:color="auto"/>
              <w:bottom w:val="single" w:sz="8" w:space="0" w:color="auto"/>
              <w:right w:val="single" w:sz="8" w:space="0" w:color="auto"/>
            </w:tcBorders>
            <w:vAlign w:val="center"/>
            <w:hideMark/>
          </w:tcPr>
          <w:p w14:paraId="31A64527" w14:textId="77777777" w:rsidR="00484200" w:rsidRPr="005305AB" w:rsidRDefault="00484200">
            <w:pPr>
              <w:rPr>
                <w:rFonts w:eastAsiaTheme="minorHAnsi" w:cs="Arial"/>
                <w:szCs w:val="22"/>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2B7B24C" w14:textId="77777777" w:rsidR="00484200" w:rsidRPr="005305AB" w:rsidRDefault="00484200">
            <w:pPr>
              <w:rPr>
                <w:rFonts w:cs="Arial"/>
                <w:szCs w:val="22"/>
              </w:rPr>
            </w:pPr>
            <w:r w:rsidRPr="005305AB">
              <w:rPr>
                <w:rFonts w:cs="Arial"/>
                <w:szCs w:val="22"/>
              </w:rPr>
              <w:t>Several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C3FF23C" w14:textId="77777777" w:rsidR="00484200" w:rsidRPr="005305AB" w:rsidRDefault="00484200">
            <w:pPr>
              <w:rPr>
                <w:rFonts w:cs="Arial"/>
                <w:szCs w:val="22"/>
              </w:rPr>
            </w:pPr>
            <w:r w:rsidRPr="005305AB">
              <w:rPr>
                <w:rFonts w:cs="Arial"/>
                <w:szCs w:val="22"/>
              </w:rPr>
              <w:t xml:space="preserve">DOC further submitted in opposition to several submissions seeking greater weight for FBP’s and that they should be voluntary. </w:t>
            </w:r>
          </w:p>
        </w:tc>
      </w:tr>
      <w:tr w:rsidR="00484200" w:rsidRPr="005305AB" w14:paraId="340F3B2A" w14:textId="77777777" w:rsidTr="0048420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9BD92" w14:textId="77777777" w:rsidR="00484200" w:rsidRPr="005305AB" w:rsidRDefault="00484200">
            <w:pPr>
              <w:rPr>
                <w:rFonts w:cs="Arial"/>
                <w:szCs w:val="22"/>
              </w:rPr>
            </w:pPr>
            <w:r w:rsidRPr="005305AB">
              <w:rPr>
                <w:rFonts w:cs="Arial"/>
                <w:szCs w:val="22"/>
              </w:rPr>
              <w:t>Policy 9</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2FA75DC" w14:textId="77777777" w:rsidR="00484200" w:rsidRPr="005305AB" w:rsidRDefault="00484200">
            <w:pPr>
              <w:rPr>
                <w:rFonts w:cs="Arial"/>
                <w:szCs w:val="22"/>
              </w:rPr>
            </w:pPr>
            <w:r w:rsidRPr="005305AB">
              <w:rPr>
                <w:rFonts w:cs="Arial"/>
                <w:szCs w:val="22"/>
              </w:rPr>
              <w:t>n/a</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886173" w14:textId="77777777" w:rsidR="00484200" w:rsidRPr="005305AB" w:rsidRDefault="00484200">
            <w:pPr>
              <w:rPr>
                <w:rFonts w:cs="Arial"/>
                <w:szCs w:val="22"/>
              </w:rPr>
            </w:pPr>
            <w:r w:rsidRPr="005305AB">
              <w:rPr>
                <w:rFonts w:cs="Arial"/>
                <w:szCs w:val="22"/>
              </w:rPr>
              <w:t>n/a</w:t>
            </w:r>
          </w:p>
        </w:tc>
      </w:tr>
      <w:tr w:rsidR="00484200" w:rsidRPr="005305AB" w14:paraId="232D0145" w14:textId="77777777" w:rsidTr="00484200">
        <w:tc>
          <w:tcPr>
            <w:tcW w:w="4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D918D" w14:textId="77777777" w:rsidR="00484200" w:rsidRPr="005305AB" w:rsidRDefault="00484200">
            <w:pPr>
              <w:rPr>
                <w:rFonts w:cs="Arial"/>
                <w:szCs w:val="22"/>
              </w:rPr>
            </w:pPr>
            <w:r w:rsidRPr="005305AB">
              <w:rPr>
                <w:rFonts w:cs="Arial"/>
                <w:szCs w:val="22"/>
              </w:rPr>
              <w:t>Rule 1.2.1</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BA59926" w14:textId="77777777" w:rsidR="00484200" w:rsidRPr="005305AB" w:rsidRDefault="00484200">
            <w:pPr>
              <w:rPr>
                <w:rFonts w:cs="Arial"/>
                <w:szCs w:val="22"/>
              </w:rPr>
            </w:pPr>
            <w:r w:rsidRPr="005305AB">
              <w:rPr>
                <w:rFonts w:cs="Arial"/>
                <w:szCs w:val="22"/>
              </w:rPr>
              <w:t>#16 Mt Gerald Station, #17 The Wolds Station – amend to a controlled activity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F13938" w14:textId="77777777" w:rsidR="00484200" w:rsidRPr="005305AB" w:rsidRDefault="00484200">
            <w:pPr>
              <w:rPr>
                <w:rFonts w:cs="Arial"/>
                <w:szCs w:val="22"/>
              </w:rPr>
            </w:pPr>
            <w:r w:rsidRPr="005305AB">
              <w:rPr>
                <w:rFonts w:cs="Arial"/>
                <w:szCs w:val="22"/>
              </w:rPr>
              <w:t>Oppose</w:t>
            </w:r>
          </w:p>
        </w:tc>
      </w:tr>
      <w:tr w:rsidR="00484200" w:rsidRPr="005305AB" w14:paraId="315CEA71" w14:textId="77777777" w:rsidTr="00484200">
        <w:tc>
          <w:tcPr>
            <w:tcW w:w="0" w:type="auto"/>
            <w:vMerge/>
            <w:tcBorders>
              <w:top w:val="nil"/>
              <w:left w:val="single" w:sz="8" w:space="0" w:color="auto"/>
              <w:bottom w:val="single" w:sz="8" w:space="0" w:color="auto"/>
              <w:right w:val="single" w:sz="8" w:space="0" w:color="auto"/>
            </w:tcBorders>
            <w:vAlign w:val="center"/>
            <w:hideMark/>
          </w:tcPr>
          <w:p w14:paraId="10968B70" w14:textId="77777777" w:rsidR="00484200" w:rsidRPr="005305AB" w:rsidRDefault="00484200">
            <w:pPr>
              <w:rPr>
                <w:rFonts w:eastAsiaTheme="minorHAnsi" w:cs="Arial"/>
                <w:szCs w:val="22"/>
              </w:rPr>
            </w:pP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A6FF338" w14:textId="77777777" w:rsidR="00484200" w:rsidRPr="005305AB" w:rsidRDefault="00484200">
            <w:pPr>
              <w:rPr>
                <w:rFonts w:cs="Arial"/>
                <w:szCs w:val="22"/>
              </w:rPr>
            </w:pPr>
            <w:r w:rsidRPr="005305AB">
              <w:rPr>
                <w:rFonts w:cs="Arial"/>
                <w:szCs w:val="22"/>
              </w:rPr>
              <w:t>#9 EDS – Supported FBP’s at a conceptual level sought amendments to “adequately identify biodiversity values including: SONS…” and amendments to MOD.</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3D299A4" w14:textId="77777777" w:rsidR="00484200" w:rsidRPr="005305AB" w:rsidRDefault="00484200">
            <w:pPr>
              <w:rPr>
                <w:rFonts w:cs="Arial"/>
                <w:szCs w:val="22"/>
              </w:rPr>
            </w:pPr>
            <w:r w:rsidRPr="005305AB">
              <w:rPr>
                <w:rFonts w:cs="Arial"/>
                <w:szCs w:val="22"/>
              </w:rPr>
              <w:t xml:space="preserve">DOC supported. </w:t>
            </w:r>
          </w:p>
        </w:tc>
      </w:tr>
      <w:tr w:rsidR="00484200" w:rsidRPr="005305AB" w14:paraId="3B860345" w14:textId="77777777" w:rsidTr="00484200">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9ABDED" w14:textId="77777777" w:rsidR="00484200" w:rsidRPr="005305AB" w:rsidRDefault="00484200">
            <w:pPr>
              <w:rPr>
                <w:rFonts w:cs="Arial"/>
                <w:szCs w:val="22"/>
              </w:rPr>
            </w:pPr>
            <w:r w:rsidRPr="005305AB">
              <w:rPr>
                <w:rFonts w:cs="Arial"/>
                <w:szCs w:val="22"/>
              </w:rPr>
              <w:t>Appendix Y</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7514DF" w14:textId="77777777" w:rsidR="00484200" w:rsidRPr="005305AB" w:rsidRDefault="00484200">
            <w:pPr>
              <w:rPr>
                <w:rFonts w:cs="Arial"/>
                <w:szCs w:val="22"/>
              </w:rPr>
            </w:pPr>
            <w:r w:rsidRPr="005305AB">
              <w:rPr>
                <w:rFonts w:cs="Arial"/>
                <w:szCs w:val="22"/>
              </w:rPr>
              <w:t>#9 EDS – “Amendments to address issues identified”: [see submission for all – they are supper broad]</w:t>
            </w:r>
          </w:p>
          <w:p w14:paraId="59AE9ECE" w14:textId="1012B262" w:rsidR="00484200" w:rsidRPr="005305AB" w:rsidRDefault="00484200" w:rsidP="00484200">
            <w:pPr>
              <w:pStyle w:val="ListParagraph"/>
              <w:numPr>
                <w:ilvl w:val="0"/>
                <w:numId w:val="4"/>
              </w:numPr>
              <w:rPr>
                <w:rFonts w:ascii="Arial" w:eastAsia="Times New Roman" w:hAnsi="Arial" w:cs="Arial"/>
              </w:rPr>
            </w:pPr>
            <w:r w:rsidRPr="005305AB">
              <w:rPr>
                <w:rFonts w:ascii="Arial" w:eastAsia="Times New Roman" w:hAnsi="Arial" w:cs="Arial"/>
              </w:rPr>
              <w:t xml:space="preserve">Fails to identify sites of </w:t>
            </w:r>
            <w:r w:rsidR="000C180A" w:rsidRPr="005305AB">
              <w:rPr>
                <w:rFonts w:ascii="Arial" w:eastAsia="Times New Roman" w:hAnsi="Arial" w:cs="Arial"/>
              </w:rPr>
              <w:t>significance.</w:t>
            </w:r>
          </w:p>
          <w:p w14:paraId="1B0F1EFA" w14:textId="77777777" w:rsidR="00484200" w:rsidRPr="005305AB" w:rsidRDefault="00484200" w:rsidP="00484200">
            <w:pPr>
              <w:pStyle w:val="ListParagraph"/>
              <w:numPr>
                <w:ilvl w:val="0"/>
                <w:numId w:val="4"/>
              </w:numPr>
              <w:rPr>
                <w:rFonts w:ascii="Arial" w:eastAsia="Times New Roman" w:hAnsi="Arial" w:cs="Arial"/>
              </w:rPr>
            </w:pPr>
            <w:r w:rsidRPr="005305AB">
              <w:rPr>
                <w:rFonts w:ascii="Arial" w:eastAsia="Times New Roman" w:hAnsi="Arial" w:cs="Arial"/>
              </w:rPr>
              <w:t>Fails to require identification of recommended outcomes to achieve protection of significant areas.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E242401" w14:textId="77777777" w:rsidR="00484200" w:rsidRPr="005305AB" w:rsidRDefault="00484200">
            <w:pPr>
              <w:rPr>
                <w:rFonts w:eastAsiaTheme="minorHAnsi" w:cs="Arial"/>
                <w:szCs w:val="22"/>
              </w:rPr>
            </w:pPr>
            <w:r w:rsidRPr="005305AB">
              <w:rPr>
                <w:rFonts w:cs="Arial"/>
                <w:szCs w:val="22"/>
              </w:rPr>
              <w:t>DOC supported.</w:t>
            </w:r>
          </w:p>
        </w:tc>
      </w:tr>
    </w:tbl>
    <w:p w14:paraId="6D7DF146" w14:textId="77777777" w:rsidR="00484200" w:rsidRPr="005305AB" w:rsidRDefault="00484200" w:rsidP="000C4376">
      <w:pPr>
        <w:rPr>
          <w:rFonts w:cs="Arial"/>
          <w:szCs w:val="22"/>
        </w:rPr>
      </w:pPr>
    </w:p>
    <w:sectPr w:rsidR="00484200" w:rsidRPr="005305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3A6A" w14:textId="77777777" w:rsidR="00850911" w:rsidRDefault="00850911" w:rsidP="000C4376">
      <w:r>
        <w:separator/>
      </w:r>
    </w:p>
  </w:endnote>
  <w:endnote w:type="continuationSeparator" w:id="0">
    <w:p w14:paraId="4B64DFE3" w14:textId="77777777" w:rsidR="00850911" w:rsidRDefault="00850911" w:rsidP="000C4376">
      <w:r>
        <w:continuationSeparator/>
      </w:r>
    </w:p>
  </w:endnote>
  <w:endnote w:type="continuationNotice" w:id="1">
    <w:p w14:paraId="2A60BDBA" w14:textId="77777777" w:rsidR="00850911" w:rsidRDefault="00850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D88B0" w14:textId="77777777" w:rsidR="00850911" w:rsidRDefault="0085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4E0B" w14:textId="77777777" w:rsidR="00484200" w:rsidRPr="00672E3B" w:rsidRDefault="00484200" w:rsidP="00484200">
    <w:pPr>
      <w:tabs>
        <w:tab w:val="right" w:pos="8080"/>
      </w:tabs>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B77DC" w14:textId="77777777" w:rsidR="00850911" w:rsidRDefault="00850911" w:rsidP="000C4376">
      <w:r>
        <w:separator/>
      </w:r>
    </w:p>
  </w:footnote>
  <w:footnote w:type="continuationSeparator" w:id="0">
    <w:p w14:paraId="1AAC1DCF" w14:textId="77777777" w:rsidR="00850911" w:rsidRDefault="00850911" w:rsidP="000C4376">
      <w:r>
        <w:continuationSeparator/>
      </w:r>
    </w:p>
  </w:footnote>
  <w:footnote w:type="continuationNotice" w:id="1">
    <w:p w14:paraId="0FFCCAC1" w14:textId="77777777" w:rsidR="00850911" w:rsidRDefault="00850911"/>
  </w:footnote>
  <w:footnote w:id="2">
    <w:p w14:paraId="1E6C0B9B" w14:textId="303DA394" w:rsidR="00484200" w:rsidRPr="00D05750" w:rsidRDefault="00484200">
      <w:pPr>
        <w:pStyle w:val="FootnoteText"/>
        <w:rPr>
          <w:lang w:val="en-US"/>
        </w:rPr>
      </w:pPr>
      <w:r w:rsidRPr="009A0ACB">
        <w:rPr>
          <w:rStyle w:val="FootnoteReference"/>
        </w:rPr>
        <w:footnoteRef/>
      </w:r>
      <w:r w:rsidRPr="009A0ACB">
        <w:t xml:space="preserve"> </w:t>
      </w:r>
      <w:r w:rsidRPr="009A0ACB">
        <w:rPr>
          <w:lang w:val="en-US"/>
        </w:rPr>
        <w:t>Paragraphs 49 Amelia Ching</w:t>
      </w:r>
      <w:r>
        <w:rPr>
          <w:lang w:val="en-US"/>
        </w:rPr>
        <w:t xml:space="preserve"> </w:t>
      </w:r>
      <w:r w:rsidR="009A0ACB">
        <w:rPr>
          <w:lang w:val="en-US"/>
        </w:rPr>
        <w:t>evidence</w:t>
      </w:r>
    </w:p>
  </w:footnote>
  <w:footnote w:id="3">
    <w:p w14:paraId="1229ED4B" w14:textId="77777777" w:rsidR="00641B05" w:rsidRPr="00AD2082" w:rsidRDefault="00641B05" w:rsidP="00641B05">
      <w:pPr>
        <w:pStyle w:val="FootnoteText"/>
        <w:rPr>
          <w:sz w:val="18"/>
          <w:szCs w:val="18"/>
        </w:rPr>
      </w:pPr>
      <w:r w:rsidRPr="00AD2082">
        <w:rPr>
          <w:rStyle w:val="FootnoteReference"/>
          <w:sz w:val="18"/>
          <w:szCs w:val="18"/>
        </w:rPr>
        <w:footnoteRef/>
      </w:r>
      <w:r w:rsidRPr="00AD2082">
        <w:rPr>
          <w:sz w:val="18"/>
          <w:szCs w:val="18"/>
        </w:rPr>
        <w:t xml:space="preserve"> </w:t>
      </w:r>
      <w:r w:rsidRPr="00AD2082">
        <w:rPr>
          <w:i/>
          <w:iCs/>
          <w:sz w:val="18"/>
          <w:szCs w:val="18"/>
        </w:rPr>
        <w:t xml:space="preserve">Re an application by Vivid Holdings Ltd </w:t>
      </w:r>
      <w:r w:rsidRPr="00AD2082">
        <w:rPr>
          <w:sz w:val="18"/>
          <w:szCs w:val="18"/>
        </w:rPr>
        <w:t xml:space="preserve">[1999] 5 ELRNZ 271, at </w:t>
      </w:r>
      <w:r>
        <w:rPr>
          <w:sz w:val="18"/>
          <w:szCs w:val="18"/>
        </w:rPr>
        <w:t xml:space="preserve">para </w:t>
      </w:r>
      <w:r w:rsidRPr="00AD2082">
        <w:rPr>
          <w:sz w:val="18"/>
          <w:szCs w:val="18"/>
        </w:rPr>
        <w:t>[18].</w:t>
      </w:r>
    </w:p>
  </w:footnote>
  <w:footnote w:id="4">
    <w:p w14:paraId="6D81023A" w14:textId="77777777" w:rsidR="00641B05" w:rsidRPr="00AD2082" w:rsidRDefault="00641B05" w:rsidP="00641B05">
      <w:pPr>
        <w:pStyle w:val="FootnoteText"/>
        <w:rPr>
          <w:sz w:val="18"/>
          <w:szCs w:val="18"/>
        </w:rPr>
      </w:pPr>
      <w:r w:rsidRPr="00AD2082">
        <w:rPr>
          <w:rStyle w:val="FootnoteReference"/>
          <w:sz w:val="18"/>
          <w:szCs w:val="18"/>
        </w:rPr>
        <w:footnoteRef/>
      </w:r>
      <w:r w:rsidRPr="00AD2082">
        <w:rPr>
          <w:sz w:val="18"/>
          <w:szCs w:val="18"/>
        </w:rPr>
        <w:t xml:space="preserve"> </w:t>
      </w:r>
      <w:r w:rsidRPr="00AD2082">
        <w:rPr>
          <w:i/>
          <w:iCs/>
          <w:sz w:val="18"/>
          <w:szCs w:val="18"/>
        </w:rPr>
        <w:t xml:space="preserve">Option 5 Inc v Marlborough District Council </w:t>
      </w:r>
      <w:r w:rsidRPr="00AD2082">
        <w:rPr>
          <w:sz w:val="18"/>
          <w:szCs w:val="18"/>
        </w:rPr>
        <w:t>(2009) 16 ELRNZ 1 (HC) at</w:t>
      </w:r>
      <w:r>
        <w:rPr>
          <w:sz w:val="18"/>
          <w:szCs w:val="18"/>
        </w:rPr>
        <w:t xml:space="preserve"> para [</w:t>
      </w:r>
      <w:r w:rsidRPr="00AD2082">
        <w:rPr>
          <w:sz w:val="18"/>
          <w:szCs w:val="18"/>
        </w:rPr>
        <w:t>15</w:t>
      </w:r>
      <w:r>
        <w:rPr>
          <w:sz w:val="18"/>
          <w:szCs w:val="18"/>
        </w:rPr>
        <w:t>]</w:t>
      </w:r>
      <w:r w:rsidRPr="00AD2082">
        <w:rPr>
          <w:sz w:val="18"/>
          <w:szCs w:val="18"/>
        </w:rPr>
        <w:t>.</w:t>
      </w:r>
    </w:p>
  </w:footnote>
  <w:footnote w:id="5">
    <w:p w14:paraId="093F5CD1" w14:textId="77777777" w:rsidR="00641B05" w:rsidRPr="00A82643" w:rsidRDefault="00641B05" w:rsidP="00641B05">
      <w:pPr>
        <w:pStyle w:val="FootnoteText"/>
        <w:rPr>
          <w:sz w:val="18"/>
          <w:szCs w:val="18"/>
        </w:rPr>
      </w:pPr>
      <w:r w:rsidRPr="00A82643">
        <w:rPr>
          <w:rStyle w:val="FootnoteReference"/>
          <w:sz w:val="18"/>
          <w:szCs w:val="18"/>
        </w:rPr>
        <w:footnoteRef/>
      </w:r>
      <w:r w:rsidRPr="00A82643">
        <w:rPr>
          <w:sz w:val="18"/>
          <w:szCs w:val="18"/>
        </w:rPr>
        <w:t xml:space="preserve"> </w:t>
      </w:r>
      <w:r w:rsidRPr="00A82643">
        <w:rPr>
          <w:i/>
          <w:iCs/>
          <w:sz w:val="18"/>
          <w:szCs w:val="18"/>
        </w:rPr>
        <w:t xml:space="preserve">Re an application by Christchurch City Council </w:t>
      </w:r>
      <w:r w:rsidRPr="00A82643">
        <w:rPr>
          <w:sz w:val="18"/>
          <w:szCs w:val="18"/>
        </w:rPr>
        <w:t xml:space="preserve">(1999) 5 ELRNZ 227 at para [17] and </w:t>
      </w:r>
      <w:r w:rsidRPr="00A82643">
        <w:rPr>
          <w:i/>
          <w:iCs/>
          <w:sz w:val="18"/>
          <w:szCs w:val="18"/>
        </w:rPr>
        <w:t xml:space="preserve">Countdown Properties (Northlands) Limited v Dunedin City Council </w:t>
      </w:r>
      <w:r w:rsidRPr="00A82643">
        <w:rPr>
          <w:sz w:val="18"/>
          <w:szCs w:val="18"/>
        </w:rPr>
        <w:t>[1994] NZRMA 145 at p [37].</w:t>
      </w:r>
    </w:p>
  </w:footnote>
  <w:footnote w:id="6">
    <w:p w14:paraId="5ED86736" w14:textId="77777777" w:rsidR="00641B05" w:rsidRPr="00AD2082" w:rsidRDefault="00641B05" w:rsidP="00641B05">
      <w:pPr>
        <w:pStyle w:val="FootnoteText"/>
        <w:rPr>
          <w:sz w:val="18"/>
          <w:szCs w:val="18"/>
        </w:rPr>
      </w:pPr>
      <w:r w:rsidRPr="00AD2082">
        <w:rPr>
          <w:rStyle w:val="FootnoteReference"/>
          <w:sz w:val="18"/>
          <w:szCs w:val="18"/>
        </w:rPr>
        <w:footnoteRef/>
      </w:r>
      <w:r w:rsidRPr="00AD2082">
        <w:rPr>
          <w:sz w:val="18"/>
          <w:szCs w:val="18"/>
        </w:rPr>
        <w:t xml:space="preserve">  </w:t>
      </w:r>
      <w:r w:rsidRPr="00AD2082">
        <w:rPr>
          <w:i/>
          <w:iCs/>
          <w:sz w:val="18"/>
          <w:szCs w:val="18"/>
        </w:rPr>
        <w:t xml:space="preserve">Royal Forest and Bird Protection Society v Southland District Council </w:t>
      </w:r>
      <w:r w:rsidRPr="00AD2082">
        <w:rPr>
          <w:sz w:val="18"/>
          <w:szCs w:val="18"/>
        </w:rPr>
        <w:t>[1997] NZRMA 408 at p [10].</w:t>
      </w:r>
    </w:p>
  </w:footnote>
  <w:footnote w:id="7">
    <w:p w14:paraId="2EFC5FAE" w14:textId="77777777" w:rsidR="00641B05" w:rsidRPr="00064B97" w:rsidRDefault="00641B05" w:rsidP="00641B05">
      <w:pPr>
        <w:pStyle w:val="FootnoteText"/>
        <w:rPr>
          <w:sz w:val="18"/>
          <w:szCs w:val="18"/>
        </w:rPr>
      </w:pPr>
      <w:r w:rsidRPr="00AD2082">
        <w:rPr>
          <w:rStyle w:val="FootnoteReference"/>
          <w:sz w:val="18"/>
          <w:szCs w:val="18"/>
        </w:rPr>
        <w:footnoteRef/>
      </w:r>
      <w:r w:rsidRPr="00AD2082">
        <w:rPr>
          <w:sz w:val="18"/>
          <w:szCs w:val="18"/>
        </w:rPr>
        <w:t xml:space="preserve"> </w:t>
      </w:r>
      <w:r w:rsidRPr="00AD2082">
        <w:rPr>
          <w:i/>
          <w:iCs/>
          <w:sz w:val="18"/>
          <w:szCs w:val="18"/>
        </w:rPr>
        <w:t xml:space="preserve">Shaw v Selwyn District Council </w:t>
      </w:r>
      <w:r w:rsidRPr="00AD2082">
        <w:rPr>
          <w:sz w:val="18"/>
          <w:szCs w:val="18"/>
        </w:rPr>
        <w:t>[2001] 2 NZLR 277 at para [31].</w:t>
      </w:r>
    </w:p>
  </w:footnote>
  <w:footnote w:id="8">
    <w:p w14:paraId="22EF609E" w14:textId="77777777" w:rsidR="00641B05" w:rsidRPr="00A82643" w:rsidRDefault="00641B05" w:rsidP="00641B05">
      <w:pPr>
        <w:pStyle w:val="FootnoteText"/>
        <w:rPr>
          <w:sz w:val="18"/>
          <w:szCs w:val="18"/>
        </w:rPr>
      </w:pPr>
      <w:r w:rsidRPr="00A82643">
        <w:rPr>
          <w:rStyle w:val="FootnoteReference"/>
          <w:sz w:val="18"/>
          <w:szCs w:val="18"/>
        </w:rPr>
        <w:footnoteRef/>
      </w:r>
      <w:r w:rsidRPr="00A82643">
        <w:rPr>
          <w:sz w:val="18"/>
          <w:szCs w:val="18"/>
        </w:rPr>
        <w:t xml:space="preserve"> </w:t>
      </w:r>
      <w:r w:rsidRPr="00A82643">
        <w:rPr>
          <w:i/>
          <w:iCs/>
          <w:sz w:val="18"/>
          <w:szCs w:val="18"/>
        </w:rPr>
        <w:t>Westfield (New Zealand) Ltd v Hamilton City Council</w:t>
      </w:r>
      <w:r w:rsidRPr="00A82643">
        <w:rPr>
          <w:sz w:val="18"/>
          <w:szCs w:val="18"/>
        </w:rPr>
        <w:t xml:space="preserve"> [2004] 10 ELRNZ 254 at paras [73]-[74].</w:t>
      </w:r>
    </w:p>
  </w:footnote>
  <w:footnote w:id="9">
    <w:p w14:paraId="545A4F09" w14:textId="77777777" w:rsidR="00641B05" w:rsidRPr="00625504" w:rsidRDefault="00641B05" w:rsidP="00641B05">
      <w:pPr>
        <w:pStyle w:val="FootnoteText"/>
        <w:rPr>
          <w:sz w:val="18"/>
          <w:szCs w:val="18"/>
        </w:rPr>
      </w:pPr>
      <w:r w:rsidRPr="00625504">
        <w:rPr>
          <w:rStyle w:val="FootnoteReference"/>
          <w:sz w:val="18"/>
          <w:szCs w:val="18"/>
        </w:rPr>
        <w:footnoteRef/>
      </w:r>
      <w:r w:rsidRPr="00625504">
        <w:rPr>
          <w:sz w:val="18"/>
          <w:szCs w:val="18"/>
        </w:rPr>
        <w:t xml:space="preserve"> </w:t>
      </w:r>
      <w:r w:rsidRPr="00625504">
        <w:rPr>
          <w:i/>
          <w:iCs/>
          <w:sz w:val="18"/>
          <w:szCs w:val="18"/>
        </w:rPr>
        <w:t xml:space="preserve">Horticulture New Zealand v Manawatu-Wanganui Regional Council </w:t>
      </w:r>
      <w:r w:rsidRPr="00625504">
        <w:rPr>
          <w:sz w:val="18"/>
          <w:szCs w:val="18"/>
        </w:rPr>
        <w:t>[2013] NZHC 2492 at para [51].</w:t>
      </w:r>
    </w:p>
  </w:footnote>
  <w:footnote w:id="10">
    <w:p w14:paraId="2796EA9B" w14:textId="77777777" w:rsidR="00641B05" w:rsidRPr="00625504" w:rsidRDefault="00641B05" w:rsidP="00641B05">
      <w:pPr>
        <w:pStyle w:val="FootnoteText"/>
        <w:rPr>
          <w:sz w:val="18"/>
          <w:szCs w:val="18"/>
        </w:rPr>
      </w:pPr>
      <w:r w:rsidRPr="00625504">
        <w:rPr>
          <w:rStyle w:val="FootnoteReference"/>
          <w:sz w:val="18"/>
          <w:szCs w:val="18"/>
        </w:rPr>
        <w:footnoteRef/>
      </w:r>
      <w:r w:rsidRPr="00625504">
        <w:rPr>
          <w:sz w:val="18"/>
          <w:szCs w:val="18"/>
        </w:rPr>
        <w:t xml:space="preserve"> </w:t>
      </w:r>
      <w:r w:rsidRPr="00625504">
        <w:rPr>
          <w:i/>
          <w:iCs/>
          <w:sz w:val="18"/>
          <w:szCs w:val="18"/>
        </w:rPr>
        <w:t xml:space="preserve">Albany North Landowners v Auckland Council </w:t>
      </w:r>
      <w:r w:rsidRPr="00625504">
        <w:rPr>
          <w:sz w:val="18"/>
          <w:szCs w:val="18"/>
        </w:rPr>
        <w:t>[2016] NZHC 138 at paras [148] –</w:t>
      </w:r>
      <w:r>
        <w:rPr>
          <w:sz w:val="18"/>
          <w:szCs w:val="18"/>
        </w:rPr>
        <w:t xml:space="preserve"> </w:t>
      </w:r>
      <w:r w:rsidRPr="00625504">
        <w:rPr>
          <w:sz w:val="18"/>
          <w:szCs w:val="18"/>
        </w:rPr>
        <w:t>[149].</w:t>
      </w:r>
    </w:p>
  </w:footnote>
  <w:footnote w:id="11">
    <w:p w14:paraId="63B30A15" w14:textId="77777777" w:rsidR="00641B05" w:rsidRPr="0099334D" w:rsidRDefault="00641B05" w:rsidP="00641B05">
      <w:pPr>
        <w:pStyle w:val="FootnoteText"/>
      </w:pPr>
      <w:r w:rsidRPr="00625504">
        <w:rPr>
          <w:rStyle w:val="FootnoteReference"/>
          <w:sz w:val="18"/>
          <w:szCs w:val="18"/>
        </w:rPr>
        <w:footnoteRef/>
      </w:r>
      <w:r w:rsidRPr="00625504">
        <w:rPr>
          <w:sz w:val="18"/>
          <w:szCs w:val="18"/>
        </w:rPr>
        <w:t xml:space="preserve"> </w:t>
      </w:r>
      <w:r w:rsidRPr="00625504">
        <w:rPr>
          <w:i/>
          <w:iCs/>
          <w:sz w:val="18"/>
          <w:szCs w:val="18"/>
        </w:rPr>
        <w:t xml:space="preserve">Albany North Landowners v Auckland Council </w:t>
      </w:r>
      <w:r w:rsidRPr="00625504">
        <w:rPr>
          <w:sz w:val="18"/>
          <w:szCs w:val="18"/>
        </w:rPr>
        <w:t>[2016] NZHC 137 at para [153].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6819190"/>
      <w:docPartObj>
        <w:docPartGallery w:val="Page Numbers (Top of Page)"/>
        <w:docPartUnique/>
      </w:docPartObj>
    </w:sdtPr>
    <w:sdtEndPr/>
    <w:sdtContent>
      <w:p w14:paraId="15406E3F" w14:textId="77777777" w:rsidR="00484200" w:rsidRDefault="004842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D2339D" w14:textId="77777777" w:rsidR="00484200" w:rsidRDefault="0048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32100"/>
    <w:multiLevelType w:val="hybridMultilevel"/>
    <w:tmpl w:val="FC9C9002"/>
    <w:lvl w:ilvl="0" w:tplc="4C14FE30">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C68550A"/>
    <w:multiLevelType w:val="singleLevel"/>
    <w:tmpl w:val="AA6C81C0"/>
    <w:lvl w:ilvl="0">
      <w:start w:val="1"/>
      <w:numFmt w:val="bullet"/>
      <w:pStyle w:val="BillBullet"/>
      <w:lvlText w:val=""/>
      <w:lvlJc w:val="left"/>
      <w:pPr>
        <w:tabs>
          <w:tab w:val="num" w:pos="360"/>
        </w:tabs>
        <w:ind w:left="284" w:hanging="284"/>
      </w:pPr>
      <w:rPr>
        <w:rFonts w:ascii="Wingdings" w:hAnsi="Wingdings" w:hint="default"/>
      </w:rPr>
    </w:lvl>
  </w:abstractNum>
  <w:abstractNum w:abstractNumId="2" w15:restartNumberingAfterBreak="0">
    <w:nsid w:val="41F81B7B"/>
    <w:multiLevelType w:val="multilevel"/>
    <w:tmpl w:val="02A4B3D2"/>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upperLetter"/>
      <w:lvlText w:val="%6."/>
      <w:lvlJc w:val="left"/>
      <w:pPr>
        <w:tabs>
          <w:tab w:val="num" w:pos="3600"/>
        </w:tabs>
        <w:ind w:left="3600" w:hanging="720"/>
      </w:pPr>
    </w:lvl>
    <w:lvl w:ilvl="6">
      <w:start w:val="1"/>
      <w:numFmt w:val="bullet"/>
      <w:lvlText w:val=""/>
      <w:lvlJc w:val="left"/>
      <w:pPr>
        <w:tabs>
          <w:tab w:val="num" w:pos="4321"/>
        </w:tabs>
        <w:ind w:left="4321" w:hanging="721"/>
      </w:pPr>
      <w:rPr>
        <w:rFonts w:ascii="Symbol" w:hAnsi="Symbol" w:hint="default"/>
      </w:rPr>
    </w:lvl>
    <w:lvl w:ilvl="7">
      <w:start w:val="1"/>
      <w:numFmt w:val="bullet"/>
      <w:lvlText w:val=""/>
      <w:lvlJc w:val="left"/>
      <w:pPr>
        <w:tabs>
          <w:tab w:val="num" w:pos="5041"/>
        </w:tabs>
        <w:ind w:left="5041" w:hanging="720"/>
      </w:pPr>
      <w:rPr>
        <w:rFonts w:ascii="Symbol" w:hAnsi="Symbol" w:hint="default"/>
        <w:sz w:val="28"/>
      </w:rPr>
    </w:lvl>
    <w:lvl w:ilvl="8">
      <w:start w:val="1"/>
      <w:numFmt w:val="lowerLetter"/>
      <w:lvlText w:val="(%9)"/>
      <w:lvlJc w:val="left"/>
      <w:pPr>
        <w:tabs>
          <w:tab w:val="num" w:pos="5761"/>
        </w:tabs>
        <w:ind w:left="5761" w:hanging="720"/>
      </w:pPr>
    </w:lvl>
  </w:abstractNum>
  <w:abstractNum w:abstractNumId="3" w15:restartNumberingAfterBreak="0">
    <w:nsid w:val="42FF7F02"/>
    <w:multiLevelType w:val="multilevel"/>
    <w:tmpl w:val="7BFACDB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720"/>
        </w:tabs>
        <w:ind w:left="720" w:hanging="720"/>
      </w:p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lvl>
    <w:lvl w:ilvl="4">
      <w:start w:val="1"/>
      <w:numFmt w:val="decimal"/>
      <w:pStyle w:val="Heading5"/>
      <w:lvlText w:val="(%5)"/>
      <w:lvlJc w:val="left"/>
      <w:pPr>
        <w:tabs>
          <w:tab w:val="num" w:pos="2880"/>
        </w:tabs>
        <w:ind w:left="2880" w:hanging="720"/>
      </w:pPr>
    </w:lvl>
    <w:lvl w:ilvl="5">
      <w:start w:val="1"/>
      <w:numFmt w:val="upperLetter"/>
      <w:pStyle w:val="Heading6"/>
      <w:lvlText w:val="%6."/>
      <w:lvlJc w:val="left"/>
      <w:pPr>
        <w:tabs>
          <w:tab w:val="num" w:pos="3600"/>
        </w:tabs>
        <w:ind w:left="3600" w:hanging="720"/>
      </w:pPr>
    </w:lvl>
    <w:lvl w:ilvl="6">
      <w:start w:val="1"/>
      <w:numFmt w:val="bullet"/>
      <w:pStyle w:val="Heading7"/>
      <w:lvlText w:val=""/>
      <w:lvlJc w:val="left"/>
      <w:pPr>
        <w:tabs>
          <w:tab w:val="num" w:pos="4321"/>
        </w:tabs>
        <w:ind w:left="4321" w:hanging="721"/>
      </w:pPr>
      <w:rPr>
        <w:rFonts w:ascii="Symbol" w:hAnsi="Symbol" w:hint="default"/>
      </w:rPr>
    </w:lvl>
    <w:lvl w:ilvl="7">
      <w:start w:val="1"/>
      <w:numFmt w:val="bullet"/>
      <w:pStyle w:val="Heading8"/>
      <w:lvlText w:val=""/>
      <w:lvlJc w:val="left"/>
      <w:pPr>
        <w:tabs>
          <w:tab w:val="num" w:pos="5041"/>
        </w:tabs>
        <w:ind w:left="5041" w:hanging="720"/>
      </w:pPr>
      <w:rPr>
        <w:rFonts w:ascii="Symbol" w:hAnsi="Symbol" w:hint="default"/>
        <w:sz w:val="28"/>
      </w:rPr>
    </w:lvl>
    <w:lvl w:ilvl="8">
      <w:start w:val="1"/>
      <w:numFmt w:val="lowerLetter"/>
      <w:pStyle w:val="Heading9"/>
      <w:lvlText w:val="(%9)"/>
      <w:lvlJc w:val="left"/>
      <w:pPr>
        <w:tabs>
          <w:tab w:val="num" w:pos="5761"/>
        </w:tabs>
        <w:ind w:left="5761" w:hanging="720"/>
      </w:pPr>
    </w:lvl>
  </w:abstractNum>
  <w:abstractNum w:abstractNumId="4" w15:restartNumberingAfterBreak="0">
    <w:nsid w:val="53B75288"/>
    <w:multiLevelType w:val="multilevel"/>
    <w:tmpl w:val="AF1400BE"/>
    <w:lvl w:ilvl="0">
      <w:start w:val="1"/>
      <w:numFmt w:val="decimal"/>
      <w:lvlText w:val="%1."/>
      <w:lvlJc w:val="left"/>
      <w:pPr>
        <w:ind w:left="357" w:firstLine="0"/>
      </w:pPr>
      <w:rPr>
        <w:rFonts w:hint="default"/>
      </w:rPr>
    </w:lvl>
    <w:lvl w:ilvl="1">
      <w:start w:val="1"/>
      <w:numFmt w:val="decimal"/>
      <w:lvlText w:val="%2."/>
      <w:lvlJc w:val="left"/>
      <w:pPr>
        <w:ind w:left="357" w:firstLine="0"/>
      </w:pPr>
      <w:rPr>
        <w:rFonts w:hint="default"/>
        <w:b w:val="0"/>
        <w:bCs w:val="0"/>
        <w:i w:val="0"/>
        <w:iCs w:val="0"/>
      </w:rPr>
    </w:lvl>
    <w:lvl w:ilvl="2">
      <w:start w:val="1"/>
      <w:numFmt w:val="lowerLetter"/>
      <w:lvlText w:val="%3)"/>
      <w:lvlJc w:val="left"/>
      <w:pPr>
        <w:ind w:left="357" w:firstLine="0"/>
      </w:pPr>
      <w:rPr>
        <w:rFonts w:asciiTheme="minorHAnsi" w:hAnsiTheme="minorHAnsi" w:cstheme="minorHAnsi" w:hint="default"/>
        <w:i w:val="0"/>
        <w:sz w:val="22"/>
      </w:rPr>
    </w:lvl>
    <w:lvl w:ilvl="3">
      <w:start w:val="1"/>
      <w:numFmt w:val="decimal"/>
      <w:isLgl/>
      <w:lvlText w:val="%1.%2.%3.%4"/>
      <w:lvlJc w:val="left"/>
      <w:pPr>
        <w:ind w:left="357" w:firstLine="0"/>
      </w:pPr>
      <w:rPr>
        <w:rFonts w:hint="default"/>
      </w:rPr>
    </w:lvl>
    <w:lvl w:ilvl="4">
      <w:start w:val="1"/>
      <w:numFmt w:val="decimal"/>
      <w:isLgl/>
      <w:lvlText w:val="%1.%2.%3.%4.%5"/>
      <w:lvlJc w:val="left"/>
      <w:pPr>
        <w:ind w:left="357" w:firstLine="0"/>
      </w:pPr>
      <w:rPr>
        <w:rFonts w:hint="default"/>
      </w:rPr>
    </w:lvl>
    <w:lvl w:ilvl="5">
      <w:start w:val="1"/>
      <w:numFmt w:val="decimal"/>
      <w:isLgl/>
      <w:lvlText w:val="%1.%2.%3.%4.%5.%6"/>
      <w:lvlJc w:val="left"/>
      <w:pPr>
        <w:ind w:left="357" w:firstLine="0"/>
      </w:pPr>
      <w:rPr>
        <w:rFonts w:hint="default"/>
      </w:rPr>
    </w:lvl>
    <w:lvl w:ilvl="6">
      <w:start w:val="1"/>
      <w:numFmt w:val="decimal"/>
      <w:isLgl/>
      <w:lvlText w:val="%1.%2.%3.%4.%5.%6.%7"/>
      <w:lvlJc w:val="left"/>
      <w:pPr>
        <w:ind w:left="357" w:firstLine="0"/>
      </w:pPr>
      <w:rPr>
        <w:rFonts w:hint="default"/>
      </w:rPr>
    </w:lvl>
    <w:lvl w:ilvl="7">
      <w:start w:val="1"/>
      <w:numFmt w:val="decimal"/>
      <w:isLgl/>
      <w:lvlText w:val="%1.%2.%3.%4.%5.%6.%7.%8"/>
      <w:lvlJc w:val="left"/>
      <w:pPr>
        <w:ind w:left="357" w:firstLine="0"/>
      </w:pPr>
      <w:rPr>
        <w:rFonts w:hint="default"/>
      </w:rPr>
    </w:lvl>
    <w:lvl w:ilvl="8">
      <w:start w:val="1"/>
      <w:numFmt w:val="decimal"/>
      <w:isLgl/>
      <w:lvlText w:val="%1.%2.%3.%4.%5.%6.%7.%8.%9"/>
      <w:lvlJc w:val="left"/>
      <w:pPr>
        <w:ind w:left="357" w:firstLine="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376"/>
    <w:rsid w:val="00093CFF"/>
    <w:rsid w:val="000C180A"/>
    <w:rsid w:val="000C4376"/>
    <w:rsid w:val="00102A7F"/>
    <w:rsid w:val="001720B4"/>
    <w:rsid w:val="001832B8"/>
    <w:rsid w:val="00281A88"/>
    <w:rsid w:val="002C229B"/>
    <w:rsid w:val="00365373"/>
    <w:rsid w:val="00372A8F"/>
    <w:rsid w:val="00392B71"/>
    <w:rsid w:val="0040039E"/>
    <w:rsid w:val="00440588"/>
    <w:rsid w:val="00484200"/>
    <w:rsid w:val="004A07BD"/>
    <w:rsid w:val="005305AB"/>
    <w:rsid w:val="00537676"/>
    <w:rsid w:val="00615B4C"/>
    <w:rsid w:val="00641B05"/>
    <w:rsid w:val="00670FDE"/>
    <w:rsid w:val="00683F9C"/>
    <w:rsid w:val="006B400C"/>
    <w:rsid w:val="007177CD"/>
    <w:rsid w:val="00787CC9"/>
    <w:rsid w:val="007C529C"/>
    <w:rsid w:val="007E2948"/>
    <w:rsid w:val="00810BD6"/>
    <w:rsid w:val="00846F4D"/>
    <w:rsid w:val="00850911"/>
    <w:rsid w:val="008B4F22"/>
    <w:rsid w:val="008E6E6D"/>
    <w:rsid w:val="00905842"/>
    <w:rsid w:val="00932B78"/>
    <w:rsid w:val="009A0ACB"/>
    <w:rsid w:val="009B4300"/>
    <w:rsid w:val="009C5898"/>
    <w:rsid w:val="009F598B"/>
    <w:rsid w:val="00A070B3"/>
    <w:rsid w:val="00A16EC3"/>
    <w:rsid w:val="00AD780F"/>
    <w:rsid w:val="00B11E97"/>
    <w:rsid w:val="00B277CA"/>
    <w:rsid w:val="00BA1D6D"/>
    <w:rsid w:val="00BD5ADC"/>
    <w:rsid w:val="00C03425"/>
    <w:rsid w:val="00C450DC"/>
    <w:rsid w:val="00C900C0"/>
    <w:rsid w:val="00C91230"/>
    <w:rsid w:val="00CF3191"/>
    <w:rsid w:val="00D05750"/>
    <w:rsid w:val="00D20EBF"/>
    <w:rsid w:val="00D744C4"/>
    <w:rsid w:val="00D8316E"/>
    <w:rsid w:val="00DA591E"/>
    <w:rsid w:val="00DB0137"/>
    <w:rsid w:val="00DC4D03"/>
    <w:rsid w:val="00E15FEA"/>
    <w:rsid w:val="00E202DD"/>
    <w:rsid w:val="00F3049B"/>
    <w:rsid w:val="00FB3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C856"/>
  <w15:chartTrackingRefBased/>
  <w15:docId w15:val="{00AC0A50-6A0E-4F1D-83F9-D31FAD2F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376"/>
    <w:pPr>
      <w:spacing w:after="0" w:line="240" w:lineRule="auto"/>
    </w:pPr>
    <w:rPr>
      <w:rFonts w:ascii="Arial" w:eastAsia="Times New Roman" w:hAnsi="Arial" w:cs="Times New Roman"/>
      <w:szCs w:val="20"/>
    </w:rPr>
  </w:style>
  <w:style w:type="paragraph" w:styleId="Heading1">
    <w:name w:val="heading 1"/>
    <w:basedOn w:val="Paragraph"/>
    <w:next w:val="Heading2"/>
    <w:link w:val="Heading1Char"/>
    <w:qFormat/>
    <w:rsid w:val="000C4376"/>
    <w:pPr>
      <w:keepNext/>
      <w:numPr>
        <w:numId w:val="1"/>
      </w:numPr>
      <w:tabs>
        <w:tab w:val="clear" w:pos="720"/>
        <w:tab w:val="num" w:pos="360"/>
      </w:tabs>
      <w:spacing w:before="120" w:after="300"/>
      <w:ind w:left="0" w:firstLine="0"/>
      <w:outlineLvl w:val="0"/>
    </w:pPr>
    <w:rPr>
      <w:b/>
      <w:caps/>
      <w:snapToGrid w:val="0"/>
      <w:kern w:val="28"/>
    </w:rPr>
  </w:style>
  <w:style w:type="paragraph" w:styleId="Heading2">
    <w:name w:val="heading 2"/>
    <w:basedOn w:val="Paragraph"/>
    <w:link w:val="Heading2Char"/>
    <w:qFormat/>
    <w:rsid w:val="000C4376"/>
    <w:pPr>
      <w:numPr>
        <w:ilvl w:val="1"/>
        <w:numId w:val="1"/>
      </w:numPr>
      <w:tabs>
        <w:tab w:val="clear" w:pos="720"/>
        <w:tab w:val="num" w:pos="360"/>
      </w:tabs>
      <w:ind w:left="0" w:firstLine="0"/>
      <w:outlineLvl w:val="1"/>
    </w:pPr>
  </w:style>
  <w:style w:type="paragraph" w:styleId="Heading3">
    <w:name w:val="heading 3"/>
    <w:basedOn w:val="Paragraph"/>
    <w:link w:val="Heading3Char"/>
    <w:qFormat/>
    <w:rsid w:val="000C4376"/>
    <w:pPr>
      <w:numPr>
        <w:ilvl w:val="2"/>
        <w:numId w:val="1"/>
      </w:numPr>
      <w:tabs>
        <w:tab w:val="clear" w:pos="1440"/>
        <w:tab w:val="num" w:pos="360"/>
      </w:tabs>
      <w:ind w:left="0" w:firstLine="0"/>
      <w:outlineLvl w:val="2"/>
    </w:pPr>
  </w:style>
  <w:style w:type="paragraph" w:styleId="Heading4">
    <w:name w:val="heading 4"/>
    <w:basedOn w:val="Paragraph"/>
    <w:link w:val="Heading4Char"/>
    <w:qFormat/>
    <w:rsid w:val="000C4376"/>
    <w:pPr>
      <w:numPr>
        <w:ilvl w:val="3"/>
        <w:numId w:val="1"/>
      </w:numPr>
      <w:tabs>
        <w:tab w:val="clear" w:pos="2160"/>
        <w:tab w:val="num" w:pos="360"/>
      </w:tabs>
      <w:ind w:left="0" w:firstLine="0"/>
      <w:outlineLvl w:val="3"/>
    </w:pPr>
  </w:style>
  <w:style w:type="paragraph" w:styleId="Heading5">
    <w:name w:val="heading 5"/>
    <w:basedOn w:val="Paragraph"/>
    <w:link w:val="Heading5Char"/>
    <w:qFormat/>
    <w:rsid w:val="000C4376"/>
    <w:pPr>
      <w:numPr>
        <w:ilvl w:val="4"/>
        <w:numId w:val="1"/>
      </w:numPr>
      <w:tabs>
        <w:tab w:val="clear" w:pos="2880"/>
        <w:tab w:val="num" w:pos="360"/>
      </w:tabs>
      <w:ind w:left="0" w:firstLine="0"/>
      <w:outlineLvl w:val="4"/>
    </w:pPr>
  </w:style>
  <w:style w:type="paragraph" w:styleId="Heading6">
    <w:name w:val="heading 6"/>
    <w:basedOn w:val="Paragraph"/>
    <w:link w:val="Heading6Char"/>
    <w:qFormat/>
    <w:rsid w:val="000C4376"/>
    <w:pPr>
      <w:numPr>
        <w:ilvl w:val="5"/>
        <w:numId w:val="1"/>
      </w:numPr>
      <w:tabs>
        <w:tab w:val="clear" w:pos="3600"/>
        <w:tab w:val="num" w:pos="360"/>
      </w:tabs>
      <w:ind w:left="0" w:firstLine="0"/>
      <w:outlineLvl w:val="5"/>
    </w:pPr>
  </w:style>
  <w:style w:type="paragraph" w:styleId="Heading7">
    <w:name w:val="heading 7"/>
    <w:basedOn w:val="Paragraph"/>
    <w:link w:val="Heading7Char"/>
    <w:qFormat/>
    <w:rsid w:val="000C4376"/>
    <w:pPr>
      <w:numPr>
        <w:ilvl w:val="6"/>
        <w:numId w:val="1"/>
      </w:numPr>
      <w:tabs>
        <w:tab w:val="clear" w:pos="4321"/>
        <w:tab w:val="num" w:pos="360"/>
      </w:tabs>
      <w:ind w:left="0" w:firstLine="0"/>
      <w:outlineLvl w:val="6"/>
    </w:pPr>
  </w:style>
  <w:style w:type="paragraph" w:styleId="Heading8">
    <w:name w:val="heading 8"/>
    <w:basedOn w:val="Paragraph"/>
    <w:link w:val="Heading8Char"/>
    <w:qFormat/>
    <w:rsid w:val="000C4376"/>
    <w:pPr>
      <w:numPr>
        <w:ilvl w:val="7"/>
        <w:numId w:val="1"/>
      </w:numPr>
      <w:tabs>
        <w:tab w:val="clear" w:pos="5041"/>
        <w:tab w:val="num" w:pos="360"/>
      </w:tabs>
      <w:ind w:left="0" w:firstLine="0"/>
      <w:outlineLvl w:val="7"/>
    </w:pPr>
  </w:style>
  <w:style w:type="paragraph" w:styleId="Heading9">
    <w:name w:val="heading 9"/>
    <w:basedOn w:val="Paragraph"/>
    <w:link w:val="Heading9Char"/>
    <w:qFormat/>
    <w:rsid w:val="000C4376"/>
    <w:pPr>
      <w:numPr>
        <w:ilvl w:val="8"/>
        <w:numId w:val="1"/>
      </w:numPr>
      <w:tabs>
        <w:tab w:val="clear" w:pos="5761"/>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4376"/>
    <w:rPr>
      <w:rFonts w:ascii="Arial" w:eastAsia="Times New Roman" w:hAnsi="Arial" w:cs="Times New Roman"/>
      <w:b/>
      <w:caps/>
      <w:snapToGrid w:val="0"/>
      <w:kern w:val="28"/>
      <w:szCs w:val="20"/>
    </w:rPr>
  </w:style>
  <w:style w:type="character" w:customStyle="1" w:styleId="Heading2Char">
    <w:name w:val="Heading 2 Char"/>
    <w:basedOn w:val="DefaultParagraphFont"/>
    <w:link w:val="Heading2"/>
    <w:rsid w:val="000C4376"/>
    <w:rPr>
      <w:rFonts w:ascii="Arial" w:eastAsia="Times New Roman" w:hAnsi="Arial" w:cs="Times New Roman"/>
      <w:szCs w:val="20"/>
    </w:rPr>
  </w:style>
  <w:style w:type="character" w:customStyle="1" w:styleId="Heading3Char">
    <w:name w:val="Heading 3 Char"/>
    <w:basedOn w:val="DefaultParagraphFont"/>
    <w:link w:val="Heading3"/>
    <w:rsid w:val="000C4376"/>
    <w:rPr>
      <w:rFonts w:ascii="Arial" w:eastAsia="Times New Roman" w:hAnsi="Arial" w:cs="Times New Roman"/>
      <w:szCs w:val="20"/>
    </w:rPr>
  </w:style>
  <w:style w:type="character" w:customStyle="1" w:styleId="Heading4Char">
    <w:name w:val="Heading 4 Char"/>
    <w:basedOn w:val="DefaultParagraphFont"/>
    <w:link w:val="Heading4"/>
    <w:rsid w:val="000C4376"/>
    <w:rPr>
      <w:rFonts w:ascii="Arial" w:eastAsia="Times New Roman" w:hAnsi="Arial" w:cs="Times New Roman"/>
      <w:szCs w:val="20"/>
    </w:rPr>
  </w:style>
  <w:style w:type="character" w:customStyle="1" w:styleId="Heading5Char">
    <w:name w:val="Heading 5 Char"/>
    <w:basedOn w:val="DefaultParagraphFont"/>
    <w:link w:val="Heading5"/>
    <w:rsid w:val="000C4376"/>
    <w:rPr>
      <w:rFonts w:ascii="Arial" w:eastAsia="Times New Roman" w:hAnsi="Arial" w:cs="Times New Roman"/>
      <w:szCs w:val="20"/>
    </w:rPr>
  </w:style>
  <w:style w:type="character" w:customStyle="1" w:styleId="Heading6Char">
    <w:name w:val="Heading 6 Char"/>
    <w:basedOn w:val="DefaultParagraphFont"/>
    <w:link w:val="Heading6"/>
    <w:rsid w:val="000C4376"/>
    <w:rPr>
      <w:rFonts w:ascii="Arial" w:eastAsia="Times New Roman" w:hAnsi="Arial" w:cs="Times New Roman"/>
      <w:szCs w:val="20"/>
    </w:rPr>
  </w:style>
  <w:style w:type="character" w:customStyle="1" w:styleId="Heading7Char">
    <w:name w:val="Heading 7 Char"/>
    <w:basedOn w:val="DefaultParagraphFont"/>
    <w:link w:val="Heading7"/>
    <w:rsid w:val="000C4376"/>
    <w:rPr>
      <w:rFonts w:ascii="Arial" w:eastAsia="Times New Roman" w:hAnsi="Arial" w:cs="Times New Roman"/>
      <w:szCs w:val="20"/>
    </w:rPr>
  </w:style>
  <w:style w:type="character" w:customStyle="1" w:styleId="Heading8Char">
    <w:name w:val="Heading 8 Char"/>
    <w:basedOn w:val="DefaultParagraphFont"/>
    <w:link w:val="Heading8"/>
    <w:rsid w:val="000C4376"/>
    <w:rPr>
      <w:rFonts w:ascii="Arial" w:eastAsia="Times New Roman" w:hAnsi="Arial" w:cs="Times New Roman"/>
      <w:szCs w:val="20"/>
    </w:rPr>
  </w:style>
  <w:style w:type="character" w:customStyle="1" w:styleId="Heading9Char">
    <w:name w:val="Heading 9 Char"/>
    <w:basedOn w:val="DefaultParagraphFont"/>
    <w:link w:val="Heading9"/>
    <w:rsid w:val="000C4376"/>
    <w:rPr>
      <w:rFonts w:ascii="Arial" w:eastAsia="Times New Roman" w:hAnsi="Arial" w:cs="Times New Roman"/>
      <w:szCs w:val="20"/>
    </w:rPr>
  </w:style>
  <w:style w:type="paragraph" w:customStyle="1" w:styleId="Paragraph">
    <w:name w:val="Paragraph"/>
    <w:link w:val="ParagraphChar"/>
    <w:rsid w:val="000C4376"/>
    <w:pPr>
      <w:spacing w:after="200" w:line="360" w:lineRule="auto"/>
    </w:pPr>
    <w:rPr>
      <w:rFonts w:ascii="Arial" w:eastAsia="Times New Roman" w:hAnsi="Arial" w:cs="Times New Roman"/>
      <w:szCs w:val="20"/>
    </w:rPr>
  </w:style>
  <w:style w:type="paragraph" w:customStyle="1" w:styleId="BFTOC1">
    <w:name w:val="BFTOC1"/>
    <w:basedOn w:val="Paragraph"/>
    <w:next w:val="Paragraph"/>
    <w:rsid w:val="000C4376"/>
    <w:pPr>
      <w:keepNext/>
    </w:pPr>
    <w:rPr>
      <w:b/>
      <w:caps/>
    </w:rPr>
  </w:style>
  <w:style w:type="character" w:styleId="Hyperlink">
    <w:name w:val="Hyperlink"/>
    <w:basedOn w:val="DefaultParagraphFont"/>
    <w:uiPriority w:val="99"/>
    <w:rsid w:val="000C4376"/>
    <w:rPr>
      <w:color w:val="0000FF"/>
      <w:u w:val="single"/>
    </w:rPr>
  </w:style>
  <w:style w:type="paragraph" w:styleId="TOC1">
    <w:name w:val="toc 1"/>
    <w:basedOn w:val="Normal"/>
    <w:next w:val="Normal"/>
    <w:autoRedefine/>
    <w:uiPriority w:val="39"/>
    <w:rsid w:val="000C4376"/>
    <w:rPr>
      <w:caps/>
    </w:rPr>
  </w:style>
  <w:style w:type="paragraph" w:styleId="Header">
    <w:name w:val="header"/>
    <w:basedOn w:val="Normal"/>
    <w:link w:val="HeaderChar"/>
    <w:uiPriority w:val="99"/>
    <w:rsid w:val="000C4376"/>
    <w:pPr>
      <w:tabs>
        <w:tab w:val="center" w:pos="4153"/>
        <w:tab w:val="right" w:pos="8306"/>
      </w:tabs>
    </w:pPr>
  </w:style>
  <w:style w:type="character" w:customStyle="1" w:styleId="HeaderChar">
    <w:name w:val="Header Char"/>
    <w:basedOn w:val="DefaultParagraphFont"/>
    <w:link w:val="Header"/>
    <w:uiPriority w:val="99"/>
    <w:rsid w:val="000C4376"/>
    <w:rPr>
      <w:rFonts w:ascii="Arial" w:eastAsia="Times New Roman" w:hAnsi="Arial" w:cs="Times New Roman"/>
      <w:szCs w:val="20"/>
    </w:rPr>
  </w:style>
  <w:style w:type="paragraph" w:styleId="FootnoteText">
    <w:name w:val="footnote text"/>
    <w:basedOn w:val="Normal"/>
    <w:link w:val="FootnoteTextChar"/>
    <w:uiPriority w:val="99"/>
    <w:semiHidden/>
    <w:rsid w:val="000C4376"/>
    <w:rPr>
      <w:sz w:val="16"/>
    </w:rPr>
  </w:style>
  <w:style w:type="character" w:customStyle="1" w:styleId="FootnoteTextChar">
    <w:name w:val="Footnote Text Char"/>
    <w:basedOn w:val="DefaultParagraphFont"/>
    <w:link w:val="FootnoteText"/>
    <w:uiPriority w:val="99"/>
    <w:semiHidden/>
    <w:rsid w:val="000C4376"/>
    <w:rPr>
      <w:rFonts w:ascii="Arial" w:eastAsia="Times New Roman" w:hAnsi="Arial" w:cs="Times New Roman"/>
      <w:sz w:val="16"/>
      <w:szCs w:val="20"/>
    </w:rPr>
  </w:style>
  <w:style w:type="character" w:styleId="CommentReference">
    <w:name w:val="annotation reference"/>
    <w:basedOn w:val="DefaultParagraphFont"/>
    <w:rsid w:val="000C4376"/>
    <w:rPr>
      <w:sz w:val="16"/>
      <w:szCs w:val="16"/>
      <w:lang w:val="en-NZ"/>
    </w:rPr>
  </w:style>
  <w:style w:type="paragraph" w:styleId="CommentText">
    <w:name w:val="annotation text"/>
    <w:basedOn w:val="Normal"/>
    <w:link w:val="CommentTextChar"/>
    <w:rsid w:val="000C4376"/>
    <w:rPr>
      <w:sz w:val="20"/>
    </w:rPr>
  </w:style>
  <w:style w:type="character" w:customStyle="1" w:styleId="CommentTextChar">
    <w:name w:val="Comment Text Char"/>
    <w:basedOn w:val="DefaultParagraphFont"/>
    <w:link w:val="CommentText"/>
    <w:rsid w:val="000C4376"/>
    <w:rPr>
      <w:rFonts w:ascii="Arial" w:eastAsia="Times New Roman" w:hAnsi="Arial" w:cs="Times New Roman"/>
      <w:sz w:val="20"/>
      <w:szCs w:val="20"/>
    </w:rPr>
  </w:style>
  <w:style w:type="character" w:styleId="FootnoteReference">
    <w:name w:val="footnote reference"/>
    <w:basedOn w:val="DefaultParagraphFont"/>
    <w:uiPriority w:val="99"/>
    <w:semiHidden/>
    <w:rsid w:val="000C4376"/>
    <w:rPr>
      <w:vertAlign w:val="superscript"/>
    </w:rPr>
  </w:style>
  <w:style w:type="character" w:customStyle="1" w:styleId="ParagraphChar">
    <w:name w:val="Paragraph Char"/>
    <w:link w:val="Paragraph"/>
    <w:rsid w:val="000C4376"/>
    <w:rPr>
      <w:rFonts w:ascii="Arial" w:eastAsia="Times New Roman" w:hAnsi="Arial" w:cs="Times New Roman"/>
      <w:szCs w:val="20"/>
    </w:rPr>
  </w:style>
  <w:style w:type="paragraph" w:customStyle="1" w:styleId="BillBullet">
    <w:name w:val="BillBullet"/>
    <w:basedOn w:val="Normal"/>
    <w:rsid w:val="000C4376"/>
    <w:pPr>
      <w:numPr>
        <w:numId w:val="3"/>
      </w:numPr>
      <w:tabs>
        <w:tab w:val="clear" w:pos="360"/>
        <w:tab w:val="left" w:pos="284"/>
      </w:tabs>
    </w:pPr>
  </w:style>
  <w:style w:type="paragraph" w:styleId="CommentSubject">
    <w:name w:val="annotation subject"/>
    <w:basedOn w:val="CommentText"/>
    <w:next w:val="CommentText"/>
    <w:link w:val="CommentSubjectChar"/>
    <w:uiPriority w:val="99"/>
    <w:semiHidden/>
    <w:unhideWhenUsed/>
    <w:rsid w:val="00BA1D6D"/>
    <w:rPr>
      <w:b/>
      <w:bCs/>
    </w:rPr>
  </w:style>
  <w:style w:type="character" w:customStyle="1" w:styleId="CommentSubjectChar">
    <w:name w:val="Comment Subject Char"/>
    <w:basedOn w:val="CommentTextChar"/>
    <w:link w:val="CommentSubject"/>
    <w:uiPriority w:val="99"/>
    <w:semiHidden/>
    <w:rsid w:val="00BA1D6D"/>
    <w:rPr>
      <w:rFonts w:ascii="Arial" w:eastAsia="Times New Roman" w:hAnsi="Arial" w:cs="Times New Roman"/>
      <w:b/>
      <w:bCs/>
      <w:sz w:val="20"/>
      <w:szCs w:val="20"/>
    </w:rPr>
  </w:style>
  <w:style w:type="paragraph" w:styleId="ListParagraph">
    <w:name w:val="List Paragraph"/>
    <w:basedOn w:val="Normal"/>
    <w:uiPriority w:val="34"/>
    <w:qFormat/>
    <w:rsid w:val="00484200"/>
    <w:pPr>
      <w:ind w:left="720"/>
    </w:pPr>
    <w:rPr>
      <w:rFonts w:ascii="Calibri" w:eastAsiaTheme="minorHAnsi" w:hAnsi="Calibri" w:cs="Calibri"/>
      <w:szCs w:val="22"/>
    </w:rPr>
  </w:style>
  <w:style w:type="paragraph" w:styleId="Footer">
    <w:name w:val="footer"/>
    <w:basedOn w:val="Normal"/>
    <w:link w:val="FooterChar"/>
    <w:uiPriority w:val="99"/>
    <w:unhideWhenUsed/>
    <w:rsid w:val="00850911"/>
    <w:pPr>
      <w:tabs>
        <w:tab w:val="center" w:pos="4513"/>
        <w:tab w:val="right" w:pos="9026"/>
      </w:tabs>
    </w:pPr>
  </w:style>
  <w:style w:type="character" w:customStyle="1" w:styleId="FooterChar">
    <w:name w:val="Footer Char"/>
    <w:basedOn w:val="DefaultParagraphFont"/>
    <w:link w:val="Footer"/>
    <w:uiPriority w:val="99"/>
    <w:rsid w:val="00850911"/>
    <w:rPr>
      <w:rFonts w:ascii="Arial" w:eastAsia="Times New Roman" w:hAnsi="Arial" w:cs="Times New Roman"/>
      <w:szCs w:val="20"/>
    </w:rPr>
  </w:style>
  <w:style w:type="paragraph" w:styleId="Revision">
    <w:name w:val="Revision"/>
    <w:hidden/>
    <w:uiPriority w:val="99"/>
    <w:semiHidden/>
    <w:rsid w:val="00850911"/>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20534">
      <w:bodyDiv w:val="1"/>
      <w:marLeft w:val="0"/>
      <w:marRight w:val="0"/>
      <w:marTop w:val="0"/>
      <w:marBottom w:val="0"/>
      <w:divBdr>
        <w:top w:val="none" w:sz="0" w:space="0" w:color="auto"/>
        <w:left w:val="none" w:sz="0" w:space="0" w:color="auto"/>
        <w:bottom w:val="none" w:sz="0" w:space="0" w:color="auto"/>
        <w:right w:val="none" w:sz="0" w:space="0" w:color="auto"/>
      </w:divBdr>
    </w:div>
    <w:div w:id="19223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7C51F46344524191D0A1E856DC3544" ma:contentTypeVersion="0" ma:contentTypeDescription="Create a new document." ma:contentTypeScope="" ma:versionID="a233e7b4a21d48be7c10bf45b178aa05">
  <xsd:schema xmlns:xsd="http://www.w3.org/2001/XMLSchema" xmlns:xs="http://www.w3.org/2001/XMLSchema" xmlns:p="http://schemas.microsoft.com/office/2006/metadata/properties" targetNamespace="http://schemas.microsoft.com/office/2006/metadata/properties" ma:root="true" ma:fieldsID="8983e56cf6c1fe638a96a812879a85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CE11-168F-4A5E-86C3-47E1321F33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135C78-5726-46FE-86B5-12C687C615FC}">
  <ds:schemaRefs>
    <ds:schemaRef ds:uri="http://schemas.microsoft.com/sharepoint/v3/contenttype/forms"/>
  </ds:schemaRefs>
</ds:datastoreItem>
</file>

<file path=customXml/itemProps3.xml><?xml version="1.0" encoding="utf-8"?>
<ds:datastoreItem xmlns:ds="http://schemas.openxmlformats.org/officeDocument/2006/customXml" ds:itemID="{DEF32637-C528-4809-A069-786822207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C7A988-6077-4E59-8E95-3481D643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Lenihan</dc:creator>
  <cp:keywords/>
  <dc:description/>
  <cp:lastModifiedBy>Clare Lenihan</cp:lastModifiedBy>
  <cp:revision>11</cp:revision>
  <cp:lastPrinted>2021-03-03T00:32:00Z</cp:lastPrinted>
  <dcterms:created xsi:type="dcterms:W3CDTF">2021-03-02T10:20:00Z</dcterms:created>
  <dcterms:modified xsi:type="dcterms:W3CDTF">2021-03-03T01:16:00Z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0x010100407C51F46344524191D0A1E856DC3544</vt:lpwstr>
  </property>
</Properties>
</file>